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line="259" w:lineRule="auto"/>
        <w:jc w:val="both"/>
        <w:rPr>
          <w:rFonts w:asciiTheme="minorHAnsi" w:eastAsia="Calibri" w:hAnsiTheme="minorHAnsi" w:cstheme="minorHAnsi"/>
          <w:spacing w:val="0"/>
          <w:lang w:eastAsia="en-US"/>
        </w:rPr>
      </w:pPr>
      <w:r>
        <w:rPr>
          <w:rFonts w:asciiTheme="minorHAnsi" w:eastAsia="Calibri" w:hAnsiTheme="minorHAnsi" w:cstheme="minorHAnsi"/>
          <w:spacing w:val="0"/>
          <w:lang w:eastAsia="en-US"/>
        </w:rPr>
        <w:t>Pressemitteilung vom 12. September 2019</w:t>
      </w:r>
    </w:p>
    <w:p>
      <w:pPr>
        <w:autoSpaceDE w:val="0"/>
        <w:autoSpaceDN w:val="0"/>
        <w:adjustRightInd w:val="0"/>
        <w:spacing w:line="259" w:lineRule="auto"/>
        <w:jc w:val="both"/>
        <w:rPr>
          <w:rFonts w:asciiTheme="minorHAnsi" w:eastAsia="Calibri" w:hAnsiTheme="minorHAnsi" w:cstheme="minorHAnsi"/>
          <w:spacing w:val="0"/>
          <w:lang w:eastAsia="en-US"/>
        </w:rPr>
      </w:pPr>
    </w:p>
    <w:p>
      <w:pPr>
        <w:autoSpaceDE w:val="0"/>
        <w:autoSpaceDN w:val="0"/>
        <w:adjustRightInd w:val="0"/>
        <w:spacing w:line="259" w:lineRule="auto"/>
        <w:jc w:val="both"/>
        <w:rPr>
          <w:rFonts w:asciiTheme="minorHAnsi" w:eastAsia="Calibri" w:hAnsiTheme="minorHAnsi" w:cstheme="minorHAnsi"/>
          <w:b/>
          <w:spacing w:val="0"/>
          <w:sz w:val="24"/>
          <w:szCs w:val="24"/>
          <w:lang w:eastAsia="en-US"/>
        </w:rPr>
      </w:pPr>
      <w:r>
        <w:rPr>
          <w:rFonts w:asciiTheme="minorHAnsi" w:eastAsia="Calibri" w:hAnsiTheme="minorHAnsi" w:cstheme="minorHAnsi"/>
          <w:b/>
          <w:spacing w:val="0"/>
          <w:sz w:val="24"/>
          <w:szCs w:val="24"/>
          <w:lang w:eastAsia="en-US"/>
        </w:rPr>
        <w:t>Sauren stellt neuartiges ESG-Scoring vor</w:t>
      </w:r>
    </w:p>
    <w:p>
      <w:pPr>
        <w:spacing w:line="259" w:lineRule="auto"/>
        <w:rPr>
          <w:rFonts w:asciiTheme="minorHAnsi" w:eastAsia="Calibri" w:hAnsiTheme="minorHAnsi" w:cstheme="minorHAnsi"/>
          <w:spacing w:val="0"/>
          <w:lang w:eastAsia="en-US"/>
        </w:rPr>
      </w:pPr>
    </w:p>
    <w:p>
      <w:pPr>
        <w:autoSpaceDE w:val="0"/>
        <w:autoSpaceDN w:val="0"/>
        <w:adjustRightInd w:val="0"/>
        <w:spacing w:after="160" w:line="259" w:lineRule="auto"/>
        <w:jc w:val="both"/>
        <w:rPr>
          <w:rFonts w:asciiTheme="minorHAnsi" w:eastAsia="Calibri" w:hAnsiTheme="minorHAnsi" w:cstheme="minorHAnsi"/>
          <w:spacing w:val="0"/>
          <w:lang w:eastAsia="en-US"/>
        </w:rPr>
      </w:pPr>
      <w:r>
        <w:rPr>
          <w:rFonts w:asciiTheme="minorHAnsi" w:eastAsia="Calibri" w:hAnsiTheme="minorHAnsi" w:cstheme="minorHAnsi"/>
          <w:spacing w:val="0"/>
          <w:lang w:eastAsia="en-US"/>
        </w:rPr>
        <w:t>Das Thema Nachhaltigkeit gewinnt bei der Geldanlage kontinuierlich an Bedeutung. Mit dem Sauren ESG-Scoring stellt Sauren eine</w:t>
      </w:r>
      <w:bookmarkStart w:id="0" w:name="_GoBack"/>
      <w:bookmarkEnd w:id="0"/>
      <w:r>
        <w:rPr>
          <w:rFonts w:asciiTheme="minorHAnsi" w:eastAsia="Calibri" w:hAnsiTheme="minorHAnsi" w:cstheme="minorHAnsi"/>
          <w:spacing w:val="0"/>
          <w:lang w:eastAsia="en-US"/>
        </w:rPr>
        <w:t>n neuartigen Ansatz vor, die Berücksichtigung von Nachhaltigkeitsaspekten bei Investmentfonds zu beurteilen. „Wir haben uns intensiv mit den unterschiedlichen Nachhaltigkeitsgedanken im Markt auseinandergesetzt und sind zu dem Ergebnis gekommen, dass wir eine neue systematische Bewertung für nachhaltige Anlageentscheidungen benötigen“ kommentiert Eckhard Sauren die Einführung des Sauren ESG-Scoring und ergänzt: „Ob und in welchem Umfang ein Manager Nachhaltigkeitsaspekte berücksichtigt, lässt sich hervorragend mit unserer personenbezogenen Investmentphilosophie analysieren.“</w:t>
      </w:r>
    </w:p>
    <w:p>
      <w:pPr>
        <w:autoSpaceDE w:val="0"/>
        <w:autoSpaceDN w:val="0"/>
        <w:adjustRightInd w:val="0"/>
        <w:spacing w:after="160" w:line="259" w:lineRule="auto"/>
        <w:jc w:val="both"/>
        <w:rPr>
          <w:rFonts w:asciiTheme="minorHAnsi" w:eastAsia="Calibri" w:hAnsiTheme="minorHAnsi" w:cstheme="minorHAnsi"/>
          <w:spacing w:val="0"/>
          <w:lang w:eastAsia="en-US"/>
        </w:rPr>
      </w:pPr>
      <w:r>
        <w:rPr>
          <w:rFonts w:asciiTheme="minorHAnsi" w:eastAsia="Calibri" w:hAnsiTheme="minorHAnsi" w:cstheme="minorHAnsi"/>
          <w:spacing w:val="0"/>
          <w:lang w:eastAsia="en-US"/>
        </w:rPr>
        <w:t>Beim Sauren ESG-Scoring werden die Entscheidungs- und Investmentprozesse der Fondsmanager in den Mittelpunkt der Analyse gestellt. Diese werden danach bewertet, welche Bedeutung Nachhaltigkeitsaspekte beim Management des jeweiligen Fondsportfolios einnehmen. So analysieren die Experten von Sauren ob ein Fondsmanager mit Ausschlusslisten arbeitet oder alle Investments hinsichtlich ESG-Aspekten analysiert. Dabei wird auch bewertet wie aktiv ein Fondsmanager seine Rolle als Investor wahrnimmt und ob er sogar versucht Veränderungen anzustoßen. Gleichzeitig wird geprüft, ob das Portfolio zum Investmentprozess passt und ob es kontroverse oder kritische Positionen enthält. Fondsmanager werden so dazu ermutigt, positive ökologische, soziale und ethische Rahmenbedingungen zu unterstützen oder auf eine Verbesserung hin zu wirken, ohne ihnen konkrete Instrumente oder Kriterien vorzuschreiben. Die qualitative Analyse der Nachhaltigkeitsprozesse fügt sich dabei nahtlos in die bewährte qualitative Fondsmanager-Analyse von Sauren ein.</w:t>
      </w:r>
    </w:p>
    <w:p>
      <w:pPr>
        <w:autoSpaceDE w:val="0"/>
        <w:autoSpaceDN w:val="0"/>
        <w:adjustRightInd w:val="0"/>
        <w:spacing w:after="160" w:line="259" w:lineRule="auto"/>
        <w:jc w:val="both"/>
        <w:rPr>
          <w:rFonts w:asciiTheme="minorHAnsi" w:eastAsia="Calibri" w:hAnsiTheme="minorHAnsi" w:cstheme="minorHAnsi"/>
          <w:spacing w:val="0"/>
          <w:lang w:eastAsia="en-US"/>
        </w:rPr>
      </w:pPr>
      <w:r>
        <w:rPr>
          <w:rFonts w:asciiTheme="minorHAnsi" w:eastAsia="Calibri" w:hAnsiTheme="minorHAnsi" w:cstheme="minorHAnsi"/>
          <w:spacing w:val="0"/>
          <w:lang w:eastAsia="en-US"/>
        </w:rPr>
        <w:t>Für Anleger, die bei ihren Geldanlagen Nachhaltigkeitsaspekte in besonderem Maße berücksichtigt wissen wollen, bietet Sauren drei Focus-Dachfonds an: den Sauren Global Defensiv Focus, den Sauren Global Balanced Focus und den Sauren Select Global Growth Focus. Mit dem offiziellen Inkrafttreten der neuen Verkaufsprospekte am 14. Oktober 2019 bildet das Sauren ESG-Scoring ein bedeutendes Kriterium bei der Auswahl der Zielfonds. Das Ergebnis ist ein Portfolio, welches insgesamt eine stärkere Berücksichtigung von ESG-Aspekten in den Prozessen der Fondsmanager widerspiegelt. „Nachhaltigkeit wird zukünftig ein unerlässlicher Bestandteil jeder Beratung sein“ stellt Vertriebsvorstand Peter Buck die Bedeutung des Themas heraus und Eckhard Sauren ergänzt: „Wir sind überzeugt mit dem Sauren ESG-Scoring eine bedeutende Rolle im Markt einnehmen und positive Veränderungen anstoßen zu können.“</w:t>
      </w:r>
    </w:p>
    <w:p>
      <w:pPr>
        <w:autoSpaceDE w:val="0"/>
        <w:autoSpaceDN w:val="0"/>
        <w:adjustRightInd w:val="0"/>
        <w:spacing w:after="160" w:line="259" w:lineRule="auto"/>
        <w:jc w:val="both"/>
        <w:rPr>
          <w:rFonts w:asciiTheme="minorHAnsi" w:eastAsia="Calibri" w:hAnsiTheme="minorHAnsi" w:cstheme="minorHAnsi"/>
          <w:spacing w:val="0"/>
          <w:lang w:eastAsia="en-US"/>
        </w:rPr>
      </w:pPr>
      <w:r>
        <w:rPr>
          <w:rFonts w:asciiTheme="minorHAnsi" w:eastAsia="Calibri" w:hAnsiTheme="minorHAnsi" w:cstheme="minorHAnsi"/>
          <w:spacing w:val="0"/>
          <w:lang w:eastAsia="en-US"/>
        </w:rPr>
        <w:t xml:space="preserve">Weitere Informationen zum Sauren ESG-Scoring und der Umsetzung in den Sauren Dachfonds finden Sie unter </w:t>
      </w:r>
      <w:hyperlink r:id="rId7" w:history="1">
        <w:r>
          <w:rPr>
            <w:rFonts w:asciiTheme="minorHAnsi" w:eastAsia="Calibri" w:hAnsiTheme="minorHAnsi" w:cstheme="minorHAnsi"/>
            <w:color w:val="0563C1"/>
            <w:spacing w:val="0"/>
            <w:u w:val="single"/>
            <w:lang w:eastAsia="en-US"/>
          </w:rPr>
          <w:t>www.sauren.de</w:t>
        </w:r>
      </w:hyperlink>
      <w:r>
        <w:rPr>
          <w:rFonts w:asciiTheme="minorHAnsi" w:eastAsia="Calibri" w:hAnsiTheme="minorHAnsi" w:cstheme="minorHAnsi"/>
          <w:spacing w:val="0"/>
          <w:lang w:eastAsia="en-US"/>
        </w:rPr>
        <w:t>.</w:t>
      </w:r>
    </w:p>
    <w:p>
      <w:pPr>
        <w:autoSpaceDE w:val="0"/>
        <w:autoSpaceDN w:val="0"/>
        <w:adjustRightInd w:val="0"/>
        <w:spacing w:line="240" w:lineRule="auto"/>
        <w:rPr>
          <w:rFonts w:asciiTheme="minorHAnsi" w:hAnsiTheme="minorHAnsi" w:cstheme="minorHAnsi"/>
          <w:color w:val="000000"/>
          <w:spacing w:val="0"/>
        </w:rPr>
      </w:pPr>
      <w:r>
        <w:rPr>
          <w:rFonts w:asciiTheme="minorHAnsi" w:hAnsiTheme="minorHAnsi" w:cstheme="minorHAnsi"/>
          <w:color w:val="000000"/>
          <w:spacing w:val="0"/>
        </w:rPr>
        <w:t>Kontakt und Fragen hinsichtlich des Sauren ESG-Scorings:</w:t>
      </w:r>
    </w:p>
    <w:p>
      <w:pPr>
        <w:autoSpaceDE w:val="0"/>
        <w:autoSpaceDN w:val="0"/>
        <w:adjustRightInd w:val="0"/>
        <w:spacing w:line="240" w:lineRule="auto"/>
        <w:rPr>
          <w:rFonts w:asciiTheme="minorHAnsi" w:hAnsiTheme="minorHAnsi" w:cstheme="minorHAnsi"/>
          <w:color w:val="000000"/>
          <w:spacing w:val="0"/>
        </w:rPr>
      </w:pPr>
      <w:r>
        <w:rPr>
          <w:rFonts w:asciiTheme="minorHAnsi" w:hAnsiTheme="minorHAnsi" w:cstheme="minorHAnsi"/>
          <w:color w:val="000000"/>
          <w:spacing w:val="0"/>
        </w:rPr>
        <w:t>Michael Viehmann</w:t>
      </w:r>
    </w:p>
    <w:p>
      <w:pPr>
        <w:autoSpaceDE w:val="0"/>
        <w:autoSpaceDN w:val="0"/>
        <w:adjustRightInd w:val="0"/>
        <w:spacing w:line="240" w:lineRule="auto"/>
        <w:rPr>
          <w:rFonts w:asciiTheme="minorHAnsi" w:hAnsiTheme="minorHAnsi" w:cstheme="minorHAnsi"/>
          <w:color w:val="000000"/>
          <w:spacing w:val="0"/>
        </w:rPr>
      </w:pPr>
      <w:r>
        <w:rPr>
          <w:rFonts w:asciiTheme="minorHAnsi" w:hAnsiTheme="minorHAnsi" w:cstheme="minorHAnsi"/>
          <w:color w:val="000000"/>
          <w:spacing w:val="0"/>
        </w:rPr>
        <w:t>Tel.: +49 221 65050-136</w:t>
      </w:r>
    </w:p>
    <w:p>
      <w:pPr>
        <w:autoSpaceDE w:val="0"/>
        <w:autoSpaceDN w:val="0"/>
        <w:adjustRightInd w:val="0"/>
        <w:spacing w:line="240" w:lineRule="auto"/>
        <w:rPr>
          <w:rFonts w:asciiTheme="minorHAnsi" w:hAnsiTheme="minorHAnsi" w:cstheme="minorHAnsi"/>
          <w:color w:val="000000"/>
          <w:spacing w:val="0"/>
        </w:rPr>
      </w:pPr>
      <w:r>
        <w:rPr>
          <w:rFonts w:asciiTheme="minorHAnsi" w:hAnsiTheme="minorHAnsi" w:cstheme="minorHAnsi"/>
          <w:color w:val="000000"/>
          <w:spacing w:val="0"/>
        </w:rPr>
        <w:t>M.Viehmann@sauren.de</w:t>
      </w:r>
    </w:p>
    <w:p>
      <w:pPr>
        <w:autoSpaceDE w:val="0"/>
        <w:autoSpaceDN w:val="0"/>
        <w:adjustRightInd w:val="0"/>
        <w:spacing w:line="240" w:lineRule="auto"/>
        <w:rPr>
          <w:rFonts w:asciiTheme="minorHAnsi" w:hAnsiTheme="minorHAnsi" w:cstheme="minorHAnsi"/>
          <w:color w:val="000000"/>
          <w:spacing w:val="0"/>
        </w:rPr>
      </w:pPr>
    </w:p>
    <w:p>
      <w:pPr>
        <w:spacing w:after="160" w:line="259" w:lineRule="auto"/>
        <w:jc w:val="both"/>
        <w:rPr>
          <w:rFonts w:asciiTheme="minorHAnsi" w:eastAsia="Calibri" w:hAnsiTheme="minorHAnsi" w:cstheme="minorHAnsi"/>
          <w:spacing w:val="0"/>
          <w:sz w:val="16"/>
          <w:szCs w:val="16"/>
          <w:lang w:eastAsia="en-US"/>
        </w:rPr>
      </w:pPr>
      <w:r>
        <w:rPr>
          <w:rFonts w:asciiTheme="minorHAnsi" w:eastAsia="Calibri" w:hAnsiTheme="minorHAnsi" w:cstheme="minorHAnsi"/>
          <w:spacing w:val="0"/>
          <w:sz w:val="16"/>
          <w:szCs w:val="16"/>
          <w:lang w:eastAsia="en-US"/>
        </w:rPr>
        <w:t xml:space="preserve">Hinweis an die Redaktionen: </w:t>
      </w:r>
    </w:p>
    <w:p>
      <w:pPr>
        <w:autoSpaceDE w:val="0"/>
        <w:autoSpaceDN w:val="0"/>
        <w:adjustRightInd w:val="0"/>
        <w:spacing w:after="160" w:line="259" w:lineRule="auto"/>
        <w:jc w:val="both"/>
        <w:rPr>
          <w:rFonts w:asciiTheme="minorHAnsi" w:eastAsia="Calibri" w:hAnsiTheme="minorHAnsi" w:cstheme="minorHAnsi"/>
          <w:spacing w:val="0"/>
          <w:sz w:val="16"/>
          <w:szCs w:val="16"/>
          <w:lang w:eastAsia="en-US"/>
        </w:rPr>
      </w:pPr>
      <w:r>
        <w:rPr>
          <w:rFonts w:asciiTheme="minorHAnsi" w:eastAsia="Calibri" w:hAnsiTheme="minorHAnsi" w:cstheme="minorHAnsi"/>
          <w:spacing w:val="0"/>
          <w:sz w:val="16"/>
          <w:szCs w:val="16"/>
          <w:lang w:eastAsia="en-US"/>
        </w:rPr>
        <w:t>Die bereits seit mehr als 25 Jahre am Markt tätige und auf unabhängiges Investmentfonds-Research spezialisierte SAUREN-Gruppe gilt als einer der Pioniere im Dachfondsmanagement und hat den personenbezogenen Investmentansatz entscheidend geprägt. Mit der Auflegung des SAUREN Global Growth im März 1999 brachte die SAUREN-Gruppe einen der ersten in Deutschland zum Vertrieb zugelassenen Dachfonds auf den Markt. Seit diesem Zeitpunkt wird das langjährig gesammelte Know-how der Fonds(manager)-analysen und Investmentideen im Management der hauseigenen Dachfonds erfolgreich umgesetzt. Das Haus SAUREN nahm in der Vergangenheit mehrmals eine Vorreiterrolle in der Investmentbranche ein. So wurde im Dezember 2009 ein innovativer Absolute-Return-Dachfonds aufgelegt, der in die „neue Generation“ von Absolute-Return-Fonds investiert. Im Juli 2011 wurde mit dem SAUREN Emerging Markets Balanced eine Vermögensverwaltungslösung für eine Investition in die Märkte der Schwellenländer aufgelegt. Die SAUREN-Gruppe verwaltet per Anfang September 2019  ein Anlagevolumen in Höhe von rund 2,4 Milliarden Euro. Die SAUREN Dachfonds können seit Auflegung nachhaltig überdurchschnittliche Wertentwicklungen und zahlreiche Auszeichnungen vorweisen. Für institutionelle Investoren werden im Bereich Asset Management sowie im Consulting weitere individuelle Dienstleistungen angeboten. Weitere Informationen sind auf www.sauren.de verfügbar.</w:t>
      </w:r>
    </w:p>
    <w:sectPr>
      <w:headerReference w:type="default" r:id="rId8"/>
      <w:footerReference w:type="default" r:id="rId9"/>
      <w:pgSz w:w="11900" w:h="16840"/>
      <w:pgMar w:top="2410" w:right="1417" w:bottom="1134" w:left="1417" w:header="2"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panose1 w:val="020B0502060101020104"/>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TheSansOfficeLF Bold">
    <w:panose1 w:val="020B08020601010201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noProof/>
      </w:rPr>
      <w:drawing>
        <wp:anchor distT="0" distB="0" distL="114300" distR="114300" simplePos="0" relativeHeight="251659264" behindDoc="0" locked="0" layoutInCell="1" allowOverlap="1">
          <wp:simplePos x="0" y="0"/>
          <wp:positionH relativeFrom="column">
            <wp:posOffset>-889965</wp:posOffset>
          </wp:positionH>
          <wp:positionV relativeFrom="paragraph">
            <wp:posOffset>-481330</wp:posOffset>
          </wp:positionV>
          <wp:extent cx="6838950" cy="619125"/>
          <wp:effectExtent l="0" t="0" r="0" b="9525"/>
          <wp:wrapNone/>
          <wp:docPr id="22" name="Bild 1" descr="Sauren_claim-4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ren_claim-4c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58240" behindDoc="0" locked="0" layoutInCell="1" allowOverlap="1">
          <wp:simplePos x="0" y="0"/>
          <wp:positionH relativeFrom="column">
            <wp:posOffset>-916610</wp:posOffset>
          </wp:positionH>
          <wp:positionV relativeFrom="paragraph">
            <wp:posOffset>-1270</wp:posOffset>
          </wp:positionV>
          <wp:extent cx="7553325" cy="1362075"/>
          <wp:effectExtent l="0" t="0" r="9525" b="9525"/>
          <wp:wrapNone/>
          <wp:docPr id="21" name="Bild 2" descr="blanko_header_sch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o_header_schm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F6D2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8EDD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E701E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6B613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726C1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29EB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B10D4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FC3C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5C4B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DAA17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98DA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562797"/>
    <w:multiLevelType w:val="hybridMultilevel"/>
    <w:tmpl w:val="F2C87C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B579F8"/>
    <w:multiLevelType w:val="hybridMultilevel"/>
    <w:tmpl w:val="4E9C1934"/>
    <w:lvl w:ilvl="0" w:tplc="D17E9060">
      <w:start w:val="70"/>
      <w:numFmt w:val="bullet"/>
      <w:lvlText w:val="-"/>
      <w:lvlJc w:val="left"/>
      <w:pPr>
        <w:tabs>
          <w:tab w:val="num" w:pos="1271"/>
        </w:tabs>
        <w:ind w:left="1271" w:hanging="360"/>
      </w:pPr>
      <w:rPr>
        <w:rFonts w:ascii="TheSansOfficeLF" w:eastAsia="Times New Roman" w:hAnsi="TheSansOfficeLF" w:cs="Times New Roman" w:hint="default"/>
        <w:sz w:val="18"/>
      </w:rPr>
    </w:lvl>
    <w:lvl w:ilvl="1" w:tplc="04070003" w:tentative="1">
      <w:start w:val="1"/>
      <w:numFmt w:val="bullet"/>
      <w:lvlText w:val="o"/>
      <w:lvlJc w:val="left"/>
      <w:pPr>
        <w:tabs>
          <w:tab w:val="num" w:pos="1991"/>
        </w:tabs>
        <w:ind w:left="1991" w:hanging="360"/>
      </w:pPr>
      <w:rPr>
        <w:rFonts w:ascii="Courier New" w:hAnsi="Courier New" w:cs="Courier New" w:hint="default"/>
      </w:rPr>
    </w:lvl>
    <w:lvl w:ilvl="2" w:tplc="04070005" w:tentative="1">
      <w:start w:val="1"/>
      <w:numFmt w:val="bullet"/>
      <w:lvlText w:val=""/>
      <w:lvlJc w:val="left"/>
      <w:pPr>
        <w:tabs>
          <w:tab w:val="num" w:pos="2711"/>
        </w:tabs>
        <w:ind w:left="2711" w:hanging="360"/>
      </w:pPr>
      <w:rPr>
        <w:rFonts w:ascii="Wingdings" w:hAnsi="Wingdings" w:hint="default"/>
      </w:rPr>
    </w:lvl>
    <w:lvl w:ilvl="3" w:tplc="04070001" w:tentative="1">
      <w:start w:val="1"/>
      <w:numFmt w:val="bullet"/>
      <w:lvlText w:val=""/>
      <w:lvlJc w:val="left"/>
      <w:pPr>
        <w:tabs>
          <w:tab w:val="num" w:pos="3431"/>
        </w:tabs>
        <w:ind w:left="3431" w:hanging="360"/>
      </w:pPr>
      <w:rPr>
        <w:rFonts w:ascii="Symbol" w:hAnsi="Symbol" w:hint="default"/>
      </w:rPr>
    </w:lvl>
    <w:lvl w:ilvl="4" w:tplc="04070003" w:tentative="1">
      <w:start w:val="1"/>
      <w:numFmt w:val="bullet"/>
      <w:lvlText w:val="o"/>
      <w:lvlJc w:val="left"/>
      <w:pPr>
        <w:tabs>
          <w:tab w:val="num" w:pos="4151"/>
        </w:tabs>
        <w:ind w:left="4151" w:hanging="360"/>
      </w:pPr>
      <w:rPr>
        <w:rFonts w:ascii="Courier New" w:hAnsi="Courier New" w:cs="Courier New" w:hint="default"/>
      </w:rPr>
    </w:lvl>
    <w:lvl w:ilvl="5" w:tplc="04070005" w:tentative="1">
      <w:start w:val="1"/>
      <w:numFmt w:val="bullet"/>
      <w:lvlText w:val=""/>
      <w:lvlJc w:val="left"/>
      <w:pPr>
        <w:tabs>
          <w:tab w:val="num" w:pos="4871"/>
        </w:tabs>
        <w:ind w:left="4871" w:hanging="360"/>
      </w:pPr>
      <w:rPr>
        <w:rFonts w:ascii="Wingdings" w:hAnsi="Wingdings" w:hint="default"/>
      </w:rPr>
    </w:lvl>
    <w:lvl w:ilvl="6" w:tplc="04070001" w:tentative="1">
      <w:start w:val="1"/>
      <w:numFmt w:val="bullet"/>
      <w:lvlText w:val=""/>
      <w:lvlJc w:val="left"/>
      <w:pPr>
        <w:tabs>
          <w:tab w:val="num" w:pos="5591"/>
        </w:tabs>
        <w:ind w:left="5591" w:hanging="360"/>
      </w:pPr>
      <w:rPr>
        <w:rFonts w:ascii="Symbol" w:hAnsi="Symbol" w:hint="default"/>
      </w:rPr>
    </w:lvl>
    <w:lvl w:ilvl="7" w:tplc="04070003" w:tentative="1">
      <w:start w:val="1"/>
      <w:numFmt w:val="bullet"/>
      <w:lvlText w:val="o"/>
      <w:lvlJc w:val="left"/>
      <w:pPr>
        <w:tabs>
          <w:tab w:val="num" w:pos="6311"/>
        </w:tabs>
        <w:ind w:left="6311" w:hanging="360"/>
      </w:pPr>
      <w:rPr>
        <w:rFonts w:ascii="Courier New" w:hAnsi="Courier New" w:cs="Courier New" w:hint="default"/>
      </w:rPr>
    </w:lvl>
    <w:lvl w:ilvl="8" w:tplc="04070005" w:tentative="1">
      <w:start w:val="1"/>
      <w:numFmt w:val="bullet"/>
      <w:lvlText w:val=""/>
      <w:lvlJc w:val="left"/>
      <w:pPr>
        <w:tabs>
          <w:tab w:val="num" w:pos="7031"/>
        </w:tabs>
        <w:ind w:left="7031"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3793">
      <o:colormru v:ext="edit" colors="#7d1e2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7d1e26"/>
    </o:shapedefaults>
    <o:shapelayout v:ext="edit">
      <o:idmap v:ext="edit" data="1"/>
    </o:shapelayout>
  </w:shapeDefaults>
  <w:doNotEmbedSmartTags/>
  <w:decimalSymbol w:val=","/>
  <w:listSeparator w:val=";"/>
  <w15:docId w15:val="{C7D81630-D703-4A01-9831-61A6EF69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4" w:lineRule="auto"/>
    </w:pPr>
    <w:rPr>
      <w:rFonts w:ascii="Arial" w:hAnsi="Arial"/>
      <w:spacing w:val="20"/>
    </w:rPr>
  </w:style>
  <w:style w:type="paragraph" w:styleId="berschrift1">
    <w:name w:val="heading 1"/>
    <w:basedOn w:val="Standard"/>
    <w:next w:val="Standard"/>
    <w:qFormat/>
    <w:pPr>
      <w:keepNext/>
      <w:outlineLvl w:val="0"/>
    </w:pPr>
    <w:rPr>
      <w:spacing w:val="0"/>
      <w:sz w:val="40"/>
    </w:rPr>
  </w:style>
  <w:style w:type="paragraph" w:styleId="berschrift3">
    <w:name w:val="heading 3"/>
    <w:basedOn w:val="Standard"/>
    <w:next w:val="Standard"/>
    <w:qFormat/>
    <w:pPr>
      <w:keepNext/>
      <w:outlineLvl w:val="2"/>
    </w:pPr>
    <w:rPr>
      <w:spacing w:val="0"/>
      <w:sz w:val="1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iesstext">
    <w:name w:val="fliesstext"/>
    <w:basedOn w:val="Absatz-Standardschriftart"/>
    <w:rPr>
      <w:rFonts w:ascii="TheSansOfficeLF" w:hAnsi="TheSansOfficeLF"/>
      <w:spacing w:val="20"/>
      <w:sz w:val="18"/>
    </w:rPr>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headline">
    <w:name w:val="headline"/>
    <w:basedOn w:val="Absatz-Standardschriftart"/>
    <w:rPr>
      <w:rFonts w:ascii="TheSansOfficeLF Bold" w:hAnsi="TheSansOfficeLF Bold"/>
      <w:caps/>
      <w:color w:val="FFFFFF"/>
      <w:spacing w:val="40"/>
      <w:sz w:val="36"/>
    </w:rPr>
  </w:style>
  <w:style w:type="paragraph" w:customStyle="1" w:styleId="datum">
    <w:name w:val="datum"/>
    <w:rPr>
      <w:rFonts w:ascii="Arial" w:hAnsi="Arial"/>
      <w:sz w:val="40"/>
    </w:rPr>
  </w:style>
  <w:style w:type="character" w:customStyle="1" w:styleId="subheadline">
    <w:name w:val="subheadline"/>
    <w:basedOn w:val="Absatz-Standardschriftart"/>
    <w:rPr>
      <w:rFonts w:ascii="TheSansOfficeLF" w:hAnsi="TheSansOfficeLF"/>
      <w:caps/>
      <w:color w:val="A2CFDD"/>
      <w:spacing w:val="0"/>
      <w:sz w:val="36"/>
    </w:rPr>
  </w:style>
  <w:style w:type="character" w:customStyle="1" w:styleId="headlinefliesstext">
    <w:name w:val="headline_fliesstext"/>
    <w:basedOn w:val="fliesstext"/>
    <w:rPr>
      <w:rFonts w:ascii="TheSansOfficeLF" w:hAnsi="TheSansOfficeLF"/>
      <w:caps/>
      <w:color w:val="7D1E26"/>
      <w:spacing w:val="0"/>
      <w:sz w:val="22"/>
    </w:rPr>
  </w:style>
  <w:style w:type="character" w:customStyle="1" w:styleId="headlinemitdatum">
    <w:name w:val="headline mit datum"/>
    <w:basedOn w:val="headlinefliesstext"/>
    <w:rPr>
      <w:rFonts w:ascii="TheSansOfficeLF Bold" w:hAnsi="TheSansOfficeLF Bold"/>
      <w:caps/>
      <w:color w:val="7D1E26"/>
      <w:spacing w:val="40"/>
      <w:sz w:val="28"/>
    </w:r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pPr>
      <w:spacing w:line="240" w:lineRule="auto"/>
      <w:jc w:val="both"/>
    </w:pPr>
    <w:rPr>
      <w:rFonts w:ascii="Times New Roman" w:hAnsi="Times New Roman"/>
      <w:spacing w:val="0"/>
      <w:sz w:val="24"/>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heme="minorEastAsia" w:hAnsi="Times New Roman"/>
      <w:spacing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9828">
      <w:bodyDiv w:val="1"/>
      <w:marLeft w:val="0"/>
      <w:marRight w:val="0"/>
      <w:marTop w:val="0"/>
      <w:marBottom w:val="0"/>
      <w:divBdr>
        <w:top w:val="none" w:sz="0" w:space="0" w:color="auto"/>
        <w:left w:val="none" w:sz="0" w:space="0" w:color="auto"/>
        <w:bottom w:val="none" w:sz="0" w:space="0" w:color="auto"/>
        <w:right w:val="none" w:sz="0" w:space="0" w:color="auto"/>
      </w:divBdr>
      <w:divsChild>
        <w:div w:id="404496656">
          <w:marLeft w:val="0"/>
          <w:marRight w:val="0"/>
          <w:marTop w:val="0"/>
          <w:marBottom w:val="432"/>
          <w:divBdr>
            <w:top w:val="none" w:sz="0" w:space="0" w:color="auto"/>
            <w:left w:val="none" w:sz="0" w:space="0" w:color="auto"/>
            <w:bottom w:val="none" w:sz="0" w:space="0" w:color="auto"/>
            <w:right w:val="none" w:sz="0" w:space="0" w:color="auto"/>
          </w:divBdr>
        </w:div>
      </w:divsChild>
    </w:div>
    <w:div w:id="147941632">
      <w:bodyDiv w:val="1"/>
      <w:marLeft w:val="0"/>
      <w:marRight w:val="0"/>
      <w:marTop w:val="0"/>
      <w:marBottom w:val="0"/>
      <w:divBdr>
        <w:top w:val="none" w:sz="0" w:space="0" w:color="auto"/>
        <w:left w:val="none" w:sz="0" w:space="0" w:color="auto"/>
        <w:bottom w:val="none" w:sz="0" w:space="0" w:color="auto"/>
        <w:right w:val="none" w:sz="0" w:space="0" w:color="auto"/>
      </w:divBdr>
    </w:div>
    <w:div w:id="361051665">
      <w:bodyDiv w:val="1"/>
      <w:marLeft w:val="0"/>
      <w:marRight w:val="0"/>
      <w:marTop w:val="0"/>
      <w:marBottom w:val="0"/>
      <w:divBdr>
        <w:top w:val="none" w:sz="0" w:space="0" w:color="auto"/>
        <w:left w:val="none" w:sz="0" w:space="0" w:color="auto"/>
        <w:bottom w:val="none" w:sz="0" w:space="0" w:color="auto"/>
        <w:right w:val="none" w:sz="0" w:space="0" w:color="auto"/>
      </w:divBdr>
    </w:div>
    <w:div w:id="711687781">
      <w:bodyDiv w:val="1"/>
      <w:marLeft w:val="0"/>
      <w:marRight w:val="0"/>
      <w:marTop w:val="0"/>
      <w:marBottom w:val="0"/>
      <w:divBdr>
        <w:top w:val="none" w:sz="0" w:space="0" w:color="auto"/>
        <w:left w:val="none" w:sz="0" w:space="0" w:color="auto"/>
        <w:bottom w:val="none" w:sz="0" w:space="0" w:color="auto"/>
        <w:right w:val="none" w:sz="0" w:space="0" w:color="auto"/>
      </w:divBdr>
    </w:div>
    <w:div w:id="1028408579">
      <w:bodyDiv w:val="1"/>
      <w:marLeft w:val="0"/>
      <w:marRight w:val="0"/>
      <w:marTop w:val="0"/>
      <w:marBottom w:val="0"/>
      <w:divBdr>
        <w:top w:val="none" w:sz="0" w:space="0" w:color="auto"/>
        <w:left w:val="none" w:sz="0" w:space="0" w:color="auto"/>
        <w:bottom w:val="none" w:sz="0" w:space="0" w:color="auto"/>
        <w:right w:val="none" w:sz="0" w:space="0" w:color="auto"/>
      </w:divBdr>
    </w:div>
    <w:div w:id="1063988181">
      <w:bodyDiv w:val="1"/>
      <w:marLeft w:val="0"/>
      <w:marRight w:val="0"/>
      <w:marTop w:val="0"/>
      <w:marBottom w:val="0"/>
      <w:divBdr>
        <w:top w:val="none" w:sz="0" w:space="0" w:color="auto"/>
        <w:left w:val="none" w:sz="0" w:space="0" w:color="auto"/>
        <w:bottom w:val="none" w:sz="0" w:space="0" w:color="auto"/>
        <w:right w:val="none" w:sz="0" w:space="0" w:color="auto"/>
      </w:divBdr>
    </w:div>
    <w:div w:id="1295066279">
      <w:bodyDiv w:val="1"/>
      <w:marLeft w:val="0"/>
      <w:marRight w:val="0"/>
      <w:marTop w:val="0"/>
      <w:marBottom w:val="0"/>
      <w:divBdr>
        <w:top w:val="none" w:sz="0" w:space="0" w:color="auto"/>
        <w:left w:val="none" w:sz="0" w:space="0" w:color="auto"/>
        <w:bottom w:val="none" w:sz="0" w:space="0" w:color="auto"/>
        <w:right w:val="none" w:sz="0" w:space="0" w:color="auto"/>
      </w:divBdr>
    </w:div>
    <w:div w:id="13418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ur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8F1B87B4</Template>
  <TotalTime>0</TotalTime>
  <Pages>1</Pages>
  <Words>547</Words>
  <Characters>3902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HEADLINE</vt:lpstr>
    </vt:vector>
  </TitlesOfParts>
  <Company/>
  <LinksUpToDate>false</LinksUpToDate>
  <CharactersWithSpaces>4441</CharactersWithSpaces>
  <SharedDoc>false</SharedDoc>
  <HyperlinkBase/>
  <HLinks>
    <vt:vector size="6" baseType="variant">
      <vt:variant>
        <vt:i4>5439497</vt:i4>
      </vt:variant>
      <vt:variant>
        <vt:i4>0</vt:i4>
      </vt:variant>
      <vt:variant>
        <vt:i4>0</vt:i4>
      </vt:variant>
      <vt:variant>
        <vt:i4>5</vt:i4>
      </vt:variant>
      <vt:variant>
        <vt:lpwstr>http://www.sauren.de/Fondsmanager-Gipfel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imac</dc:creator>
  <cp:lastModifiedBy>Matthias Weinbeck</cp:lastModifiedBy>
  <cp:revision>3</cp:revision>
  <cp:lastPrinted>2019-09-11T10:43:00Z</cp:lastPrinted>
  <dcterms:created xsi:type="dcterms:W3CDTF">2019-09-11T10:43:00Z</dcterms:created>
  <dcterms:modified xsi:type="dcterms:W3CDTF">2019-09-11T10:44:00Z</dcterms:modified>
</cp:coreProperties>
</file>