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heSansOfficeLF" w:hAnsi="TheSansOfficeLF"/>
        </w:rPr>
      </w:pPr>
      <w:r>
        <w:rPr>
          <w:rFonts w:ascii="TheSansOfficeLF" w:hAnsi="TheSansOfficeLF"/>
        </w:rPr>
        <w:t>Pressemitteilung vom 29. September 2021</w:t>
      </w:r>
    </w:p>
    <w:p>
      <w:pPr>
        <w:rPr>
          <w:rFonts w:ascii="TheSansOfficeLF" w:hAnsi="TheSansOfficeLF"/>
        </w:rPr>
      </w:pPr>
    </w:p>
    <w:p>
      <w:pPr>
        <w:rPr>
          <w:rFonts w:ascii="TheSansOfficeLF" w:hAnsi="TheSansOfficeLF"/>
          <w:b/>
        </w:rPr>
      </w:pPr>
      <w:r>
        <w:rPr>
          <w:rFonts w:ascii="TheSansOfficeLF" w:hAnsi="TheSansOfficeLF"/>
          <w:b/>
        </w:rPr>
        <w:t>Auszeichnungen mit Sauren Goldmedaillen 2021 veröffentlicht</w:t>
      </w:r>
    </w:p>
    <w:p>
      <w:pPr>
        <w:rPr>
          <w:rFonts w:ascii="TheSansOfficeLF" w:hAnsi="TheSansOfficeLF"/>
        </w:rPr>
      </w:pPr>
    </w:p>
    <w:p>
      <w:pPr>
        <w:jc w:val="both"/>
        <w:rPr>
          <w:rFonts w:ascii="TheSansOfficeLF" w:hAnsi="TheSansOfficeLF"/>
        </w:rPr>
      </w:pPr>
      <w:r>
        <w:rPr>
          <w:rFonts w:ascii="TheSansOfficeLF" w:hAnsi="TheSansOfficeLF"/>
        </w:rPr>
        <w:t>Die Sauren Fonds-Research AG hat am 29. September 2021 ihre viel beachteten Auszeichnungen mit Gold</w:t>
      </w:r>
      <w:r>
        <w:rPr>
          <w:rFonts w:ascii="TheSansOfficeLF" w:hAnsi="TheSansOfficeLF"/>
        </w:rPr>
        <w:softHyphen/>
        <w:t>medaillen im Rahmen des Fondsmanager-Ratings für das Jahr 2021 bekannt gegeben.</w:t>
      </w:r>
    </w:p>
    <w:p>
      <w:pPr>
        <w:jc w:val="both"/>
        <w:rPr>
          <w:rFonts w:ascii="TheSansOfficeLF" w:hAnsi="TheSansOfficeLF"/>
        </w:rPr>
      </w:pPr>
    </w:p>
    <w:p>
      <w:pPr>
        <w:jc w:val="both"/>
        <w:rPr>
          <w:rFonts w:ascii="TheSansOfficeLF" w:hAnsi="TheSansOfficeLF"/>
        </w:rPr>
      </w:pPr>
      <w:r>
        <w:rPr>
          <w:rFonts w:ascii="TheSansOfficeLF" w:hAnsi="TheSansOfficeLF"/>
        </w:rPr>
        <w:t>Bei dem Ratingansatz der Sauren Fonds-Research AG steht die Person des Fondsmanagers und dessen qualitative Beurteilung im Mittelpunkt. Von den in individuellen Gesprächen analysierten Fondsmanagern erhalten nur die erfolgversprechendsten Fondsmanager eine Auszeichnung von bis zu drei Goldmedaillen. In diesem Jahr wurden insgesamt 114 Auszeichnungen in einer Vielzahl von Kategorien vergeben. Dabei wurden drei Fondsmanager mit drei Goldmedaillen, 67 Fondsmanager mit zwei Goldmedaillen und 44 Fondsmanager mit einer Goldmedaille für ihre Leistungen ausgezeichnet.</w:t>
      </w:r>
    </w:p>
    <w:p>
      <w:pPr>
        <w:jc w:val="both"/>
        <w:rPr>
          <w:rFonts w:ascii="TheSansOfficeLF" w:hAnsi="TheSansOfficeLF"/>
        </w:rPr>
      </w:pPr>
    </w:p>
    <w:p>
      <w:pPr>
        <w:jc w:val="both"/>
        <w:rPr>
          <w:rFonts w:ascii="TheSansOfficeLF" w:hAnsi="TheSansOfficeLF"/>
        </w:rPr>
      </w:pPr>
      <w:r>
        <w:rPr>
          <w:rFonts w:ascii="TheSansOfficeLF" w:hAnsi="TheSansOfficeLF"/>
        </w:rPr>
        <w:t>Die Goldmedaillen des Fondsmanager-Ratings haben sich als begehrter Maßstab für besondere Qualität und als eine der höchsten Anerkennungen für die Fondsmanager im Markt etabliert. Die ausgezeichneten Fondsmanager spiegeln die Vielfalt der Fondsbranche wider. Manager großer Fondshäuser sind genauso vertreten wie die kleiner Investmentboutiquen, bekannte Namen genauso wie bislang wenig beachtete Fondsmanager. Die Preisträger verteilen sich dabei auf folgende Fondskategorien:</w:t>
      </w:r>
    </w:p>
    <w:p>
      <w:pPr>
        <w:jc w:val="both"/>
        <w:rPr>
          <w:rFonts w:ascii="TheSansOfficeLF" w:hAnsi="TheSansOfficeLF"/>
        </w:rPr>
      </w:pPr>
    </w:p>
    <w:p>
      <w:pPr>
        <w:tabs>
          <w:tab w:val="right" w:pos="340"/>
          <w:tab w:val="left" w:pos="426"/>
        </w:tabs>
        <w:jc w:val="both"/>
        <w:rPr>
          <w:rFonts w:ascii="TheSansOfficeLF" w:hAnsi="TheSansOfficeLF"/>
        </w:rPr>
      </w:pPr>
      <w:r>
        <w:rPr>
          <w:rFonts w:ascii="TheSansOfficeLF" w:hAnsi="TheSansOfficeLF"/>
        </w:rPr>
        <w:tab/>
        <w:t>25</w:t>
      </w:r>
      <w:r>
        <w:rPr>
          <w:rFonts w:ascii="TheSansOfficeLF" w:hAnsi="TheSansOfficeLF"/>
        </w:rPr>
        <w:tab/>
        <w:t>Absolute-Return-Fondsmanager</w:t>
      </w:r>
    </w:p>
    <w:p>
      <w:pPr>
        <w:tabs>
          <w:tab w:val="right" w:pos="340"/>
          <w:tab w:val="left" w:pos="426"/>
        </w:tabs>
        <w:jc w:val="both"/>
        <w:rPr>
          <w:rFonts w:ascii="TheSansOfficeLF" w:hAnsi="TheSansOfficeLF"/>
        </w:rPr>
      </w:pPr>
      <w:r>
        <w:rPr>
          <w:rFonts w:ascii="TheSansOfficeLF" w:hAnsi="TheSansOfficeLF"/>
        </w:rPr>
        <w:tab/>
        <w:t xml:space="preserve">  64</w:t>
      </w:r>
      <w:r>
        <w:rPr>
          <w:rFonts w:ascii="TheSansOfficeLF" w:hAnsi="TheSansOfficeLF"/>
        </w:rPr>
        <w:tab/>
        <w:t>Aktienfondsmanager</w:t>
      </w:r>
    </w:p>
    <w:p>
      <w:pPr>
        <w:tabs>
          <w:tab w:val="right" w:pos="340"/>
          <w:tab w:val="left" w:pos="426"/>
        </w:tabs>
        <w:jc w:val="both"/>
        <w:rPr>
          <w:rFonts w:ascii="TheSansOfficeLF" w:hAnsi="TheSansOfficeLF"/>
        </w:rPr>
      </w:pPr>
      <w:r>
        <w:rPr>
          <w:rFonts w:ascii="TheSansOfficeLF" w:hAnsi="TheSansOfficeLF"/>
        </w:rPr>
        <w:tab/>
        <w:t xml:space="preserve">  4</w:t>
      </w:r>
      <w:r>
        <w:rPr>
          <w:rFonts w:ascii="TheSansOfficeLF" w:hAnsi="TheSansOfficeLF"/>
        </w:rPr>
        <w:tab/>
        <w:t>Multi-Asset-Fondsmanager</w:t>
      </w:r>
    </w:p>
    <w:p>
      <w:pPr>
        <w:tabs>
          <w:tab w:val="right" w:pos="340"/>
          <w:tab w:val="left" w:pos="426"/>
        </w:tabs>
        <w:jc w:val="both"/>
        <w:rPr>
          <w:rFonts w:ascii="TheSansOfficeLF" w:hAnsi="TheSansOfficeLF"/>
        </w:rPr>
      </w:pPr>
      <w:r>
        <w:rPr>
          <w:rFonts w:ascii="TheSansOfficeLF" w:hAnsi="TheSansOfficeLF"/>
        </w:rPr>
        <w:tab/>
        <w:t>21</w:t>
      </w:r>
      <w:r>
        <w:rPr>
          <w:rFonts w:ascii="TheSansOfficeLF" w:hAnsi="TheSansOfficeLF"/>
        </w:rPr>
        <w:tab/>
      </w:r>
      <w:proofErr w:type="spellStart"/>
      <w:r>
        <w:rPr>
          <w:rFonts w:ascii="TheSansOfficeLF" w:hAnsi="TheSansOfficeLF"/>
        </w:rPr>
        <w:t>Anleihenfondsmanager</w:t>
      </w:r>
      <w:proofErr w:type="spellEnd"/>
    </w:p>
    <w:p>
      <w:pPr>
        <w:jc w:val="both"/>
        <w:rPr>
          <w:rFonts w:ascii="TheSansOfficeLF" w:hAnsi="TheSansOfficeLF"/>
        </w:rPr>
      </w:pPr>
    </w:p>
    <w:p>
      <w:pPr>
        <w:jc w:val="both"/>
        <w:rPr>
          <w:rFonts w:ascii="TheSansOfficeLF" w:hAnsi="TheSansOfficeLF"/>
        </w:rPr>
      </w:pPr>
      <w:r>
        <w:rPr>
          <w:rFonts w:ascii="TheSansOfficeLF" w:hAnsi="TheSansOfficeLF"/>
        </w:rPr>
        <w:t>Die aktuelle Broschüre „Sauren Fondsmanager-Rating 2021“ enthält eine umfassende Übersicht der durch die Sauren Fonds-Research AG vergebenen Auszeichnungen. Die Broschüre sowie ausführliche Informationen zu dem personenbezogenen Rating-Ansatz sind im Internet unter www.sauren.de verfügbar.</w:t>
      </w:r>
    </w:p>
    <w:p>
      <w:pPr>
        <w:jc w:val="both"/>
        <w:rPr>
          <w:rFonts w:ascii="TheSansOfficeLF" w:hAnsi="TheSansOfficeLF"/>
        </w:rPr>
      </w:pPr>
    </w:p>
    <w:p>
      <w:pPr>
        <w:jc w:val="both"/>
        <w:rPr>
          <w:rFonts w:ascii="TheSansOfficeLF" w:hAnsi="TheSansOfficeLF"/>
        </w:rPr>
      </w:pPr>
    </w:p>
    <w:p>
      <w:pPr>
        <w:jc w:val="both"/>
        <w:rPr>
          <w:rFonts w:ascii="TheSansOfficeLF" w:hAnsi="TheSansOfficeLF"/>
        </w:rPr>
      </w:pPr>
    </w:p>
    <w:p>
      <w:pPr>
        <w:jc w:val="both"/>
        <w:rPr>
          <w:rFonts w:ascii="TheSansOfficeLF" w:hAnsi="TheSansOfficeLF"/>
        </w:rPr>
      </w:pPr>
      <w:r>
        <w:rPr>
          <w:rFonts w:ascii="TheSansOfficeLF" w:hAnsi="TheSansOfficeLF"/>
        </w:rPr>
        <w:t>Sauren Fonds-Research AG, Telefon 0221/65050-137, Fax 0221/65050-130</w:t>
      </w:r>
    </w:p>
    <w:p>
      <w:pPr>
        <w:jc w:val="both"/>
        <w:rPr>
          <w:rFonts w:ascii="TheSansOfficeLF" w:hAnsi="TheSansOfficeLF"/>
          <w:lang w:val="en-GB"/>
        </w:rPr>
      </w:pPr>
      <w:r>
        <w:rPr>
          <w:rFonts w:ascii="TheSansOfficeLF" w:hAnsi="TheSansOfficeLF"/>
          <w:lang w:val="en-GB"/>
        </w:rPr>
        <w:t xml:space="preserve">E-Mail: S.Schuster@sauren.de, Homepage: </w:t>
      </w:r>
      <w:hyperlink r:id="rId8" w:history="1">
        <w:r>
          <w:rPr>
            <w:rStyle w:val="Hyperlink"/>
            <w:rFonts w:ascii="TheSansOfficeLF" w:hAnsi="TheSansOfficeLF"/>
            <w:lang w:val="en-GB"/>
          </w:rPr>
          <w:t>www.sauren.de</w:t>
        </w:r>
      </w:hyperlink>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p>
    <w:p>
      <w:pPr>
        <w:jc w:val="both"/>
        <w:rPr>
          <w:rFonts w:ascii="TheSansOfficeLF" w:hAnsi="TheSansOfficeLF"/>
          <w:lang w:val="en-GB"/>
        </w:rPr>
      </w:pPr>
      <w:bookmarkStart w:id="0" w:name="_GoBack"/>
      <w:bookmarkEnd w:id="0"/>
    </w:p>
    <w:p>
      <w:pPr>
        <w:jc w:val="both"/>
        <w:rPr>
          <w:rFonts w:ascii="TheSansOfficeLF" w:hAnsi="TheSansOfficeLF"/>
          <w:lang w:val="en-GB"/>
        </w:rPr>
      </w:pPr>
    </w:p>
    <w:p>
      <w:pPr>
        <w:rPr>
          <w:rStyle w:val="fliesstext"/>
          <w:spacing w:val="0"/>
          <w:sz w:val="20"/>
        </w:rPr>
      </w:pPr>
      <w:r>
        <w:rPr>
          <w:rStyle w:val="fliesstext"/>
          <w:spacing w:val="0"/>
          <w:sz w:val="20"/>
        </w:rPr>
        <w:t>Hinweis an die Redaktionen:</w:t>
      </w:r>
    </w:p>
    <w:p>
      <w:pPr>
        <w:rPr>
          <w:rStyle w:val="fliesstext"/>
          <w:spacing w:val="0"/>
          <w:sz w:val="16"/>
          <w:szCs w:val="16"/>
        </w:rPr>
      </w:pPr>
    </w:p>
    <w:p>
      <w:pPr>
        <w:jc w:val="both"/>
        <w:rPr>
          <w:rStyle w:val="fliesstext"/>
          <w:spacing w:val="0"/>
          <w:sz w:val="16"/>
          <w:szCs w:val="16"/>
        </w:rPr>
      </w:pPr>
      <w:r>
        <w:rPr>
          <w:rStyle w:val="fliesstext"/>
          <w:spacing w:val="0"/>
          <w:sz w:val="16"/>
          <w:szCs w:val="16"/>
        </w:rPr>
        <w:t>Die bereits seit 30 Jahren am Markt tätige und auf unabhängiges Investmentfonds-Research spezialisierte Sauren-Gruppe gilt als einer der Pioniere im Dachfondsmanagement und hat den personenbezogenen Investmentansatz entscheidend geprägt. Mit der Auflegung des Sauren Global Growth im März 1999 brachte die Sauren-Gruppe einen der ersten in Deutschland zum Vertrieb zugelassenen Dachfonds auf den Markt. Seit diesem Zeitpunkt wird das langjährig gesammelte Know-how der Fonds(</w:t>
      </w:r>
      <w:proofErr w:type="spellStart"/>
      <w:r>
        <w:rPr>
          <w:rStyle w:val="fliesstext"/>
          <w:spacing w:val="0"/>
          <w:sz w:val="16"/>
          <w:szCs w:val="16"/>
        </w:rPr>
        <w:t>manager</w:t>
      </w:r>
      <w:proofErr w:type="spellEnd"/>
      <w:r>
        <w:rPr>
          <w:rStyle w:val="fliesstext"/>
          <w:spacing w:val="0"/>
          <w:sz w:val="16"/>
          <w:szCs w:val="16"/>
        </w:rPr>
        <w:t>)-Analysen und Investmentideen im Management der hauseigenen Dachfonds erfolgreich umgesetzt. Die Sauren Dachfonds können seit Auflegung nachhaltig überdurchschnittliche Wertentwicklungen und zahlreiche Auszeichnungen vorweisen. Sauren hat mit dem ersten in Deutschland zugelassenen Dachfonds sowie dem ersten Absolute-Return-Dachfonds immer wieder eine Pionier-Rolle übernommen – und gehört auch bei dem Thema „Moderne Multi-Asset-Fonds“ zu den Vorreitern. Mit dem Sauren ESG-Scoring, bei dem die Entscheidungs- und Investmentprozesse der Fondsmanager im Mittelpunkt der Analysen stehen, wurde zudem eine einzigartige systematische Bewertung für die Berücksichtigung von Nachhaltigkeitsaspekten etabliert. Die Sauren-Gruppe verwaltet per Ende August 2021 ein Anlagevolumen in Höhe von über 2 Milliarden Euro. Weitere Informationen sind auf www.sauren.de verfügbar.</w:t>
      </w:r>
    </w:p>
    <w:sectPr>
      <w:headerReference w:type="default" r:id="rId9"/>
      <w:footerReference w:type="default" r:id="rId10"/>
      <w:pgSz w:w="11906" w:h="16838"/>
      <w:pgMar w:top="1985" w:right="1134" w:bottom="1134" w:left="1134"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LF">
    <w:panose1 w:val="020B0502060101020104"/>
    <w:charset w:val="00"/>
    <w:family w:val="swiss"/>
    <w:pitch w:val="variable"/>
    <w:sig w:usb0="800000A7"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rPr>
        <w:noProof/>
      </w:rPr>
      <w:drawing>
        <wp:anchor distT="0" distB="0" distL="114300" distR="114300" simplePos="0" relativeHeight="251657728" behindDoc="0" locked="0" layoutInCell="1" allowOverlap="1">
          <wp:simplePos x="0" y="0"/>
          <wp:positionH relativeFrom="column">
            <wp:posOffset>-720090</wp:posOffset>
          </wp:positionH>
          <wp:positionV relativeFrom="paragraph">
            <wp:posOffset>-108585</wp:posOffset>
          </wp:positionV>
          <wp:extent cx="6848475" cy="619125"/>
          <wp:effectExtent l="0" t="0" r="9525" b="9525"/>
          <wp:wrapNone/>
          <wp:docPr id="6" name="Bild 6" descr="Sauren_claim-4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uren_claim-4c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84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ind w:left="-1134" w:right="-1134"/>
    </w:pPr>
    <w:r>
      <w:rPr>
        <w:noProof/>
      </w:rPr>
      <w:drawing>
        <wp:inline distT="0" distB="0" distL="0" distR="0">
          <wp:extent cx="7648575" cy="1095375"/>
          <wp:effectExtent l="0" t="0" r="9525" b="9525"/>
          <wp:docPr id="1" name="Bild 1" descr="SFR_AG_Balk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R_AG_Balken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575"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8F8F658"/>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29FC2D96-F68F-441C-9F65-E26BDB0F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jc w:val="center"/>
      <w:outlineLvl w:val="1"/>
    </w:pPr>
    <w:rPr>
      <w:b/>
      <w:sz w:val="24"/>
    </w:rPr>
  </w:style>
  <w:style w:type="paragraph" w:styleId="berschrift3">
    <w:name w:val="heading 3"/>
    <w:basedOn w:val="Standard"/>
    <w:next w:val="Standard"/>
    <w:qFormat/>
    <w:pPr>
      <w:keepNext/>
      <w:jc w:val="center"/>
      <w:outlineLvl w:val="2"/>
    </w:pPr>
    <w:rPr>
      <w:sz w:val="24"/>
    </w:rPr>
  </w:style>
  <w:style w:type="paragraph" w:styleId="berschrift4">
    <w:name w:val="heading 4"/>
    <w:basedOn w:val="Standard"/>
    <w:next w:val="Standard"/>
    <w:qFormat/>
    <w:pPr>
      <w:keepNext/>
      <w:outlineLvl w:val="3"/>
    </w:pPr>
    <w:rPr>
      <w:b/>
      <w:i/>
      <w:snapToGrid w:val="0"/>
      <w:color w:val="000000"/>
      <w:sz w:val="28"/>
    </w:rPr>
  </w:style>
  <w:style w:type="paragraph" w:styleId="berschrift5">
    <w:name w:val="heading 5"/>
    <w:basedOn w:val="Standard"/>
    <w:next w:val="Standard"/>
    <w:qFormat/>
    <w:pPr>
      <w:keepNext/>
      <w:jc w:val="center"/>
      <w:outlineLvl w:val="4"/>
    </w:pPr>
    <w:rPr>
      <w:sz w:val="32"/>
    </w:rPr>
  </w:style>
  <w:style w:type="paragraph" w:styleId="berschrift6">
    <w:name w:val="heading 6"/>
    <w:basedOn w:val="Standard"/>
    <w:next w:val="Standard"/>
    <w:qFormat/>
    <w:pPr>
      <w:keepNext/>
      <w:jc w:val="center"/>
      <w:outlineLvl w:val="5"/>
    </w:pPr>
    <w:rPr>
      <w:b/>
      <w:i/>
      <w:sz w:val="28"/>
    </w:rPr>
  </w:style>
  <w:style w:type="paragraph" w:styleId="berschrift7">
    <w:name w:val="heading 7"/>
    <w:basedOn w:val="Standard"/>
    <w:next w:val="Standard"/>
    <w:qFormat/>
    <w:pPr>
      <w:keepNext/>
      <w:outlineLvl w:val="6"/>
    </w:pPr>
    <w:rPr>
      <w:b/>
      <w:sz w:val="16"/>
    </w:rPr>
  </w:style>
  <w:style w:type="paragraph" w:styleId="berschrift8">
    <w:name w:val="heading 8"/>
    <w:basedOn w:val="Standard"/>
    <w:next w:val="Standard"/>
    <w:qFormat/>
    <w:pPr>
      <w:keepNext/>
      <w:jc w:val="center"/>
      <w:outlineLvl w:val="7"/>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pPr>
      <w:numPr>
        <w:numId w:val="1"/>
      </w:numPr>
    </w:pPr>
  </w:style>
  <w:style w:type="paragraph" w:styleId="Textkrper">
    <w:name w:val="Body Text"/>
    <w:basedOn w:val="Standard"/>
    <w:pPr>
      <w:jc w:val="both"/>
    </w:pPr>
    <w:rPr>
      <w:sz w:val="24"/>
    </w:rPr>
  </w:style>
  <w:style w:type="character" w:styleId="Hyperlink">
    <w:name w:val="Hyperlink"/>
    <w:rPr>
      <w:color w:val="0000FF"/>
      <w:u w:val="single"/>
    </w:rPr>
  </w:style>
  <w:style w:type="paragraph" w:styleId="Titel">
    <w:name w:val="Title"/>
    <w:basedOn w:val="Standard"/>
    <w:qFormat/>
    <w:pPr>
      <w:jc w:val="center"/>
    </w:pPr>
    <w:rPr>
      <w:b/>
      <w:sz w:val="3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pPr>
      <w:jc w:val="both"/>
    </w:p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Pr>
      <w:b/>
      <w:bCs/>
    </w:rPr>
  </w:style>
  <w:style w:type="character" w:customStyle="1" w:styleId="fliesstext">
    <w:name w:val="fliesstext"/>
    <w:rPr>
      <w:rFonts w:ascii="TheSansOfficeLF" w:hAnsi="TheSansOfficeLF"/>
      <w:spacing w:val="2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26468">
      <w:bodyDiv w:val="1"/>
      <w:marLeft w:val="0"/>
      <w:marRight w:val="0"/>
      <w:marTop w:val="0"/>
      <w:marBottom w:val="0"/>
      <w:divBdr>
        <w:top w:val="none" w:sz="0" w:space="0" w:color="auto"/>
        <w:left w:val="none" w:sz="0" w:space="0" w:color="auto"/>
        <w:bottom w:val="none" w:sz="0" w:space="0" w:color="auto"/>
        <w:right w:val="none" w:sz="0" w:space="0" w:color="auto"/>
      </w:divBdr>
    </w:div>
    <w:div w:id="129336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ure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7343B-49FD-4EF1-8885-7B7FFA386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2902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Sauren</Company>
  <LinksUpToDate>false</LinksUpToDate>
  <CharactersWithSpaces>3284</CharactersWithSpaces>
  <SharedDoc>false</SharedDoc>
  <HLinks>
    <vt:vector size="6" baseType="variant">
      <vt:variant>
        <vt:i4>196681</vt:i4>
      </vt:variant>
      <vt:variant>
        <vt:i4>0</vt:i4>
      </vt:variant>
      <vt:variant>
        <vt:i4>0</vt:i4>
      </vt:variant>
      <vt:variant>
        <vt:i4>5</vt:i4>
      </vt:variant>
      <vt:variant>
        <vt:lpwstr>http://www.sauren.de/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mwe</dc:creator>
  <cp:lastModifiedBy>Matthias Weinbeck</cp:lastModifiedBy>
  <cp:revision>2</cp:revision>
  <cp:lastPrinted>2014-09-11T21:18:00Z</cp:lastPrinted>
  <dcterms:created xsi:type="dcterms:W3CDTF">2021-09-28T09:32:00Z</dcterms:created>
  <dcterms:modified xsi:type="dcterms:W3CDTF">2021-09-28T09:32:00Z</dcterms:modified>
</cp:coreProperties>
</file>