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240" w:lineRule="auto"/>
        <w:rPr>
          <w:rFonts w:cs="Arial"/>
          <w:spacing w:val="10"/>
        </w:rPr>
      </w:pPr>
      <w:r>
        <w:rPr>
          <w:rFonts w:cs="Arial"/>
          <w:spacing w:val="10"/>
        </w:rPr>
        <w:t xml:space="preserve">Pressemitteilung vom 29. Juli </w:t>
      </w:r>
      <w:bookmarkStart w:id="0" w:name="_GoBack"/>
      <w:bookmarkEnd w:id="0"/>
      <w:r>
        <w:rPr>
          <w:rFonts w:cs="Arial"/>
          <w:spacing w:val="10"/>
        </w:rPr>
        <w:t>2024</w:t>
      </w:r>
      <w:r>
        <w:rPr>
          <w:rFonts w:cs="Arial"/>
          <w:spacing w:val="10"/>
        </w:rPr>
        <w:br/>
        <w:t>Marketing-Information</w:t>
      </w:r>
    </w:p>
    <w:p>
      <w:pPr>
        <w:spacing w:line="240" w:lineRule="auto"/>
        <w:jc w:val="both"/>
        <w:rPr>
          <w:rFonts w:cs="Arial"/>
        </w:rPr>
      </w:pPr>
    </w:p>
    <w:p>
      <w:pPr>
        <w:jc w:val="both"/>
        <w:rPr>
          <w:rFonts w:cs="Arial"/>
          <w:spacing w:val="0"/>
        </w:rPr>
      </w:pPr>
    </w:p>
    <w:p>
      <w:pPr>
        <w:autoSpaceDE w:val="0"/>
        <w:autoSpaceDN w:val="0"/>
        <w:adjustRightInd w:val="0"/>
        <w:spacing w:line="240" w:lineRule="auto"/>
        <w:jc w:val="both"/>
        <w:rPr>
          <w:rFonts w:cs="Arial"/>
          <w:spacing w:val="0"/>
        </w:rPr>
      </w:pPr>
      <w:r>
        <w:rPr>
          <w:rFonts w:cs="Arial"/>
          <w:b/>
          <w:bCs/>
          <w:color w:val="000000"/>
          <w:spacing w:val="0"/>
          <w:sz w:val="22"/>
          <w:szCs w:val="22"/>
        </w:rPr>
        <w:t>20 Jahre Sauren Global Hedgefonds – ein Pionier feiert Jubiläum</w:t>
      </w:r>
    </w:p>
    <w:p>
      <w:pPr>
        <w:autoSpaceDE w:val="0"/>
        <w:autoSpaceDN w:val="0"/>
        <w:adjustRightInd w:val="0"/>
        <w:spacing w:line="240" w:lineRule="auto"/>
        <w:jc w:val="both"/>
        <w:rPr>
          <w:rFonts w:cs="Arial"/>
          <w:spacing w:val="0"/>
        </w:rPr>
      </w:pPr>
    </w:p>
    <w:p>
      <w:pPr>
        <w:autoSpaceDE w:val="0"/>
        <w:autoSpaceDN w:val="0"/>
        <w:adjustRightInd w:val="0"/>
        <w:spacing w:line="240" w:lineRule="auto"/>
        <w:jc w:val="both"/>
        <w:rPr>
          <w:rFonts w:cs="Arial"/>
          <w:spacing w:val="0"/>
        </w:rPr>
      </w:pPr>
    </w:p>
    <w:p>
      <w:pPr>
        <w:autoSpaceDE w:val="0"/>
        <w:autoSpaceDN w:val="0"/>
        <w:adjustRightInd w:val="0"/>
        <w:spacing w:line="240" w:lineRule="auto"/>
        <w:jc w:val="both"/>
        <w:rPr>
          <w:rFonts w:cs="Arial"/>
          <w:spacing w:val="0"/>
        </w:rPr>
      </w:pPr>
      <w:r>
        <w:rPr>
          <w:rFonts w:cs="Arial"/>
          <w:spacing w:val="0"/>
        </w:rPr>
        <w:t>Am 27. Juli 2004 startete der Sauren Global Hedgefonds als einer der ersten für deutsche Anleger verfügbaren Dach-Hedgefonds. Das damals in Kraft getretene Investmentgesetz ermöglichte erstmals Dach-Hedgefonds in Deutschland. Auch heute, nach 20 Jahren am Markt steht der als Pionier gestartete Sauren Global Hedgefonds Anlegern als Möglichkeit zur Partizipation an der Entwicklung eines Portfolios von Hedgefonds zur Verfügung.</w:t>
      </w:r>
    </w:p>
    <w:p>
      <w:pPr>
        <w:autoSpaceDE w:val="0"/>
        <w:autoSpaceDN w:val="0"/>
        <w:adjustRightInd w:val="0"/>
        <w:spacing w:line="240" w:lineRule="auto"/>
        <w:jc w:val="both"/>
        <w:rPr>
          <w:rFonts w:cs="Arial"/>
          <w:spacing w:val="0"/>
        </w:rPr>
      </w:pPr>
    </w:p>
    <w:p>
      <w:pPr>
        <w:autoSpaceDE w:val="0"/>
        <w:autoSpaceDN w:val="0"/>
        <w:adjustRightInd w:val="0"/>
        <w:spacing w:line="240" w:lineRule="auto"/>
        <w:jc w:val="both"/>
        <w:rPr>
          <w:rFonts w:cs="Arial"/>
          <w:b/>
          <w:spacing w:val="0"/>
        </w:rPr>
      </w:pPr>
      <w:r>
        <w:rPr>
          <w:rFonts w:cs="Arial"/>
          <w:b/>
          <w:spacing w:val="0"/>
        </w:rPr>
        <w:t>Fondsmanager entscheidend</w:t>
      </w:r>
    </w:p>
    <w:p>
      <w:pPr>
        <w:autoSpaceDE w:val="0"/>
        <w:autoSpaceDN w:val="0"/>
        <w:adjustRightInd w:val="0"/>
        <w:spacing w:line="240" w:lineRule="auto"/>
        <w:jc w:val="both"/>
        <w:rPr>
          <w:rFonts w:cs="Arial"/>
          <w:spacing w:val="0"/>
        </w:rPr>
      </w:pPr>
    </w:p>
    <w:p>
      <w:pPr>
        <w:autoSpaceDE w:val="0"/>
        <w:autoSpaceDN w:val="0"/>
        <w:adjustRightInd w:val="0"/>
        <w:spacing w:line="240" w:lineRule="auto"/>
        <w:jc w:val="both"/>
        <w:rPr>
          <w:rFonts w:cs="Arial"/>
          <w:spacing w:val="0"/>
        </w:rPr>
      </w:pPr>
      <w:r>
        <w:rPr>
          <w:rFonts w:cs="Arial"/>
          <w:spacing w:val="0"/>
        </w:rPr>
        <w:t>Der Sauren Global Hedgefonds wird seit seiner Auflegung mit der personenbezogenen Investmentphilosophie „Wir investieren nicht in Fonds – wir investieren in Fondsmanager“ verwaltet. „In den letzten 20 Jahren hat sich der Sauren Global Hedgefonds über viele Turbulenzen gut behauptet und gerade auch in jüngster Vergangenheit eine attraktive Wertentwicklung erzielt“, erklärt Fondsmanager Eckhard Sauren stolz und ergänzt: „Bei Hedgefonds kommt der Person des Fondsmanagers eine besondere Bedeutung zu. Hier ist unser Ansatz langjährig bewährt, mit dem wir immer wieder attraktive Anlagemöglichkeiten bei erfolgreichen Fondsmanagern identifizieren konnten.“</w:t>
      </w:r>
    </w:p>
    <w:p>
      <w:pPr>
        <w:autoSpaceDE w:val="0"/>
        <w:autoSpaceDN w:val="0"/>
        <w:adjustRightInd w:val="0"/>
        <w:spacing w:line="240" w:lineRule="auto"/>
        <w:jc w:val="both"/>
        <w:rPr>
          <w:rFonts w:cs="Arial"/>
          <w:spacing w:val="0"/>
        </w:rPr>
      </w:pPr>
    </w:p>
    <w:p>
      <w:pPr>
        <w:autoSpaceDE w:val="0"/>
        <w:autoSpaceDN w:val="0"/>
        <w:adjustRightInd w:val="0"/>
        <w:spacing w:line="240" w:lineRule="auto"/>
        <w:jc w:val="both"/>
        <w:rPr>
          <w:rFonts w:cs="Arial"/>
          <w:b/>
          <w:spacing w:val="0"/>
        </w:rPr>
      </w:pPr>
      <w:r>
        <w:rPr>
          <w:rFonts w:cs="Arial"/>
          <w:b/>
          <w:spacing w:val="0"/>
        </w:rPr>
        <w:t>Diversifikation für ein Portfolio</w:t>
      </w:r>
    </w:p>
    <w:p>
      <w:pPr>
        <w:autoSpaceDE w:val="0"/>
        <w:autoSpaceDN w:val="0"/>
        <w:adjustRightInd w:val="0"/>
        <w:spacing w:line="240" w:lineRule="auto"/>
        <w:jc w:val="both"/>
        <w:rPr>
          <w:rFonts w:cs="Arial"/>
          <w:spacing w:val="0"/>
        </w:rPr>
      </w:pPr>
    </w:p>
    <w:p>
      <w:pPr>
        <w:autoSpaceDE w:val="0"/>
        <w:autoSpaceDN w:val="0"/>
        <w:adjustRightInd w:val="0"/>
        <w:spacing w:line="240" w:lineRule="auto"/>
        <w:jc w:val="both"/>
        <w:rPr>
          <w:rFonts w:cs="Arial"/>
          <w:spacing w:val="0"/>
        </w:rPr>
      </w:pPr>
      <w:r>
        <w:rPr>
          <w:rFonts w:cs="Arial"/>
          <w:spacing w:val="0"/>
        </w:rPr>
        <w:t xml:space="preserve">Der Sauren Global Hedgefonds stellte die erste Anlagemöglichkeit des Hauses Sauren im Absolute-Return-Bereich dar. Mit der später entstandenen Möglichkeit Absolute-Return-Strategien auch im UCITS-Mantel aufzulegen, wurde das Angebot Ende 2009 durch den Sauren Absolute Return ergänzt. „Hedgefonds bzw. Absolute-Return-Strategien stellen einen wichtigen Portfoliobaustein dar und sind vor allen Dingen eine interessante Diversifikation in einem Portfolio“ erklärt Vertriebsvorstand Ansgar </w:t>
      </w:r>
      <w:proofErr w:type="spellStart"/>
      <w:r>
        <w:rPr>
          <w:rFonts w:cs="Arial"/>
          <w:spacing w:val="0"/>
        </w:rPr>
        <w:t>Schraud</w:t>
      </w:r>
      <w:proofErr w:type="spellEnd"/>
      <w:r>
        <w:rPr>
          <w:rFonts w:cs="Arial"/>
          <w:spacing w:val="0"/>
        </w:rPr>
        <w:t>: „Wir freuen uns, mit dem Sauren Global Hedgefonds seit inzwischen 20 Jahren eine Möglichkeit zur direkten Investition in Hedgefonds anbieten zu können. Gleichzeitig bieten wir Anlegern mit dem Sauren Absolute Return aber auch einen Zugang zu Absolute-Return-Strategien im klassischen Fondsmantel an.“</w:t>
      </w:r>
    </w:p>
    <w:p>
      <w:pPr>
        <w:autoSpaceDE w:val="0"/>
        <w:autoSpaceDN w:val="0"/>
        <w:adjustRightInd w:val="0"/>
        <w:spacing w:line="240" w:lineRule="auto"/>
        <w:jc w:val="both"/>
        <w:rPr>
          <w:rFonts w:cs="Arial"/>
          <w:spacing w:val="0"/>
        </w:rPr>
      </w:pPr>
    </w:p>
    <w:p>
      <w:pPr>
        <w:autoSpaceDE w:val="0"/>
        <w:autoSpaceDN w:val="0"/>
        <w:adjustRightInd w:val="0"/>
        <w:spacing w:line="240" w:lineRule="auto"/>
        <w:jc w:val="both"/>
        <w:rPr>
          <w:rFonts w:cs="Arial"/>
          <w:spacing w:val="0"/>
        </w:rPr>
      </w:pPr>
      <w:r>
        <w:rPr>
          <w:rFonts w:cs="Arial"/>
          <w:spacing w:val="0"/>
        </w:rPr>
        <w:t>Weitere Informationen zum Sauren Global Hedgefonds und zur Sauren Investmentphilosophie sind auf www.sauren.de verfügbar.</w:t>
      </w:r>
    </w:p>
    <w:p>
      <w:pPr>
        <w:autoSpaceDE w:val="0"/>
        <w:autoSpaceDN w:val="0"/>
        <w:adjustRightInd w:val="0"/>
        <w:spacing w:line="240" w:lineRule="auto"/>
        <w:jc w:val="both"/>
        <w:rPr>
          <w:rFonts w:cs="Arial"/>
          <w:spacing w:val="0"/>
        </w:rPr>
      </w:pPr>
    </w:p>
    <w:p>
      <w:pPr>
        <w:autoSpaceDE w:val="0"/>
        <w:autoSpaceDN w:val="0"/>
        <w:adjustRightInd w:val="0"/>
        <w:spacing w:line="240" w:lineRule="auto"/>
        <w:jc w:val="both"/>
        <w:rPr>
          <w:rFonts w:cs="Arial"/>
          <w:spacing w:val="0"/>
        </w:rPr>
      </w:pPr>
      <w:r>
        <w:rPr>
          <w:rFonts w:cs="Arial"/>
          <w:spacing w:val="0"/>
        </w:rPr>
        <w:t>Bettina Jansen</w:t>
      </w:r>
    </w:p>
    <w:p>
      <w:pPr>
        <w:autoSpaceDE w:val="0"/>
        <w:autoSpaceDN w:val="0"/>
        <w:adjustRightInd w:val="0"/>
        <w:spacing w:line="240" w:lineRule="auto"/>
        <w:jc w:val="both"/>
        <w:rPr>
          <w:rFonts w:cs="Arial"/>
          <w:spacing w:val="0"/>
        </w:rPr>
      </w:pPr>
      <w:r>
        <w:rPr>
          <w:rFonts w:cs="Arial"/>
          <w:spacing w:val="0"/>
        </w:rPr>
        <w:t>SAUREN Fonds-Service AG</w:t>
      </w:r>
    </w:p>
    <w:p>
      <w:pPr>
        <w:autoSpaceDE w:val="0"/>
        <w:autoSpaceDN w:val="0"/>
        <w:adjustRightInd w:val="0"/>
        <w:spacing w:line="240" w:lineRule="auto"/>
        <w:jc w:val="both"/>
        <w:rPr>
          <w:rFonts w:cs="Arial"/>
          <w:spacing w:val="0"/>
          <w:sz w:val="18"/>
          <w:szCs w:val="18"/>
        </w:rPr>
      </w:pPr>
    </w:p>
    <w:p>
      <w:pPr>
        <w:autoSpaceDE w:val="0"/>
        <w:autoSpaceDN w:val="0"/>
        <w:adjustRightInd w:val="0"/>
        <w:spacing w:line="240" w:lineRule="auto"/>
        <w:jc w:val="both"/>
        <w:rPr>
          <w:rFonts w:cs="Arial"/>
          <w:spacing w:val="0"/>
          <w:sz w:val="18"/>
          <w:szCs w:val="18"/>
        </w:rPr>
      </w:pPr>
    </w:p>
    <w:p>
      <w:pPr>
        <w:autoSpaceDE w:val="0"/>
        <w:autoSpaceDN w:val="0"/>
        <w:adjustRightInd w:val="0"/>
        <w:spacing w:line="240" w:lineRule="auto"/>
        <w:jc w:val="both"/>
        <w:rPr>
          <w:rFonts w:cs="Arial"/>
          <w:spacing w:val="0"/>
          <w:sz w:val="18"/>
          <w:szCs w:val="18"/>
        </w:rPr>
      </w:pPr>
    </w:p>
    <w:p>
      <w:pPr>
        <w:autoSpaceDE w:val="0"/>
        <w:autoSpaceDN w:val="0"/>
        <w:adjustRightInd w:val="0"/>
        <w:spacing w:line="240" w:lineRule="auto"/>
        <w:jc w:val="both"/>
        <w:rPr>
          <w:rFonts w:cs="Arial"/>
          <w:spacing w:val="0"/>
          <w:sz w:val="18"/>
          <w:szCs w:val="18"/>
        </w:rPr>
      </w:pPr>
    </w:p>
    <w:p>
      <w:pPr>
        <w:spacing w:line="240" w:lineRule="auto"/>
        <w:jc w:val="both"/>
        <w:rPr>
          <w:rStyle w:val="fliesstext"/>
          <w:rFonts w:ascii="Arial" w:hAnsi="Arial" w:cs="Arial"/>
          <w:spacing w:val="0"/>
          <w:sz w:val="16"/>
          <w:szCs w:val="16"/>
        </w:rPr>
      </w:pPr>
      <w:r>
        <w:rPr>
          <w:rStyle w:val="fliesstext"/>
          <w:rFonts w:ascii="Arial" w:hAnsi="Arial" w:cs="Arial"/>
          <w:spacing w:val="0"/>
          <w:sz w:val="16"/>
          <w:szCs w:val="16"/>
        </w:rPr>
        <w:t>Hinweis an die Redaktionen:</w:t>
      </w:r>
    </w:p>
    <w:p>
      <w:pPr>
        <w:spacing w:line="240" w:lineRule="auto"/>
        <w:jc w:val="both"/>
        <w:rPr>
          <w:rStyle w:val="fliesstext"/>
          <w:rFonts w:ascii="Arial" w:hAnsi="Arial" w:cs="Arial"/>
          <w:spacing w:val="0"/>
          <w:sz w:val="16"/>
          <w:szCs w:val="16"/>
        </w:rPr>
      </w:pPr>
    </w:p>
    <w:p>
      <w:pPr>
        <w:autoSpaceDE w:val="0"/>
        <w:autoSpaceDN w:val="0"/>
        <w:adjustRightInd w:val="0"/>
        <w:spacing w:after="160" w:line="259" w:lineRule="auto"/>
        <w:jc w:val="both"/>
        <w:rPr>
          <w:rFonts w:asciiTheme="minorHAnsi" w:eastAsia="Calibri" w:hAnsiTheme="minorHAnsi" w:cstheme="minorHAnsi"/>
          <w:spacing w:val="0"/>
          <w:sz w:val="16"/>
          <w:szCs w:val="16"/>
          <w:lang w:eastAsia="en-US"/>
        </w:rPr>
      </w:pPr>
      <w:r>
        <w:rPr>
          <w:rFonts w:asciiTheme="minorHAnsi" w:eastAsia="Calibri" w:hAnsiTheme="minorHAnsi" w:cstheme="minorHAnsi"/>
          <w:spacing w:val="0"/>
          <w:sz w:val="16"/>
          <w:szCs w:val="16"/>
          <w:lang w:eastAsia="en-US"/>
        </w:rPr>
        <w:t>Die seit über 30 Jahren am Markt tätige und auf unabhängiges Investmentfonds-Research spezialisierte Sauren-Gruppe gilt als einer der Pioniere im Dachfondsmanagement und hat den personenbezogenen Investmentansatz entscheidend geprägt. Mit der Auflegung des Sauren Global Growth im März 1999 brachte die Sauren-Gruppe einen der ersten in Deutschland zum Vertrieb zugelassenen Dachfonds auf den Markt. Seit diesem Zeitpunkt wird das langjährig gesammelte Know-how der Fonds(</w:t>
      </w:r>
      <w:proofErr w:type="spellStart"/>
      <w:r>
        <w:rPr>
          <w:rFonts w:asciiTheme="minorHAnsi" w:eastAsia="Calibri" w:hAnsiTheme="minorHAnsi" w:cstheme="minorHAnsi"/>
          <w:spacing w:val="0"/>
          <w:sz w:val="16"/>
          <w:szCs w:val="16"/>
          <w:lang w:eastAsia="en-US"/>
        </w:rPr>
        <w:t>manager</w:t>
      </w:r>
      <w:proofErr w:type="spellEnd"/>
      <w:r>
        <w:rPr>
          <w:rFonts w:asciiTheme="minorHAnsi" w:eastAsia="Calibri" w:hAnsiTheme="minorHAnsi" w:cstheme="minorHAnsi"/>
          <w:spacing w:val="0"/>
          <w:sz w:val="16"/>
          <w:szCs w:val="16"/>
          <w:lang w:eastAsia="en-US"/>
        </w:rPr>
        <w:t>)-Analysen und Investmentideen im Management der hauseigenen Dachfonds erfolgreich umgesetzt. Die Sauren Dachfonds können seit Auflegung nachhaltig überdurch-</w:t>
      </w:r>
      <w:proofErr w:type="spellStart"/>
      <w:r>
        <w:rPr>
          <w:rFonts w:asciiTheme="minorHAnsi" w:eastAsia="Calibri" w:hAnsiTheme="minorHAnsi" w:cstheme="minorHAnsi"/>
          <w:spacing w:val="0"/>
          <w:sz w:val="16"/>
          <w:szCs w:val="16"/>
          <w:lang w:eastAsia="en-US"/>
        </w:rPr>
        <w:t>schnittliche</w:t>
      </w:r>
      <w:proofErr w:type="spellEnd"/>
      <w:r>
        <w:rPr>
          <w:rFonts w:asciiTheme="minorHAnsi" w:eastAsia="Calibri" w:hAnsiTheme="minorHAnsi" w:cstheme="minorHAnsi"/>
          <w:spacing w:val="0"/>
          <w:sz w:val="16"/>
          <w:szCs w:val="16"/>
          <w:lang w:eastAsia="en-US"/>
        </w:rPr>
        <w:t xml:space="preserve"> Wertentwicklungen und zahlreiche Auszeichnungen vorweisen. Weitere Informationen sind auf www.sauren.de verfügbar.</w:t>
      </w:r>
    </w:p>
    <w:p>
      <w:pPr>
        <w:autoSpaceDE w:val="0"/>
        <w:autoSpaceDN w:val="0"/>
        <w:adjustRightInd w:val="0"/>
        <w:spacing w:after="160" w:line="259" w:lineRule="auto"/>
        <w:jc w:val="both"/>
        <w:rPr>
          <w:rFonts w:asciiTheme="minorHAnsi" w:eastAsia="Calibri" w:hAnsiTheme="minorHAnsi" w:cstheme="minorHAnsi"/>
          <w:spacing w:val="0"/>
          <w:sz w:val="16"/>
          <w:szCs w:val="16"/>
          <w:lang w:eastAsia="en-US"/>
        </w:rPr>
      </w:pPr>
    </w:p>
    <w:p>
      <w:pPr>
        <w:autoSpaceDE w:val="0"/>
        <w:autoSpaceDN w:val="0"/>
        <w:adjustRightInd w:val="0"/>
        <w:spacing w:after="160" w:line="259" w:lineRule="auto"/>
        <w:jc w:val="both"/>
        <w:rPr>
          <w:rFonts w:asciiTheme="minorHAnsi" w:eastAsia="Calibri" w:hAnsiTheme="minorHAnsi" w:cstheme="minorHAnsi"/>
          <w:spacing w:val="0"/>
          <w:sz w:val="16"/>
          <w:szCs w:val="16"/>
          <w:lang w:eastAsia="en-US"/>
        </w:rPr>
      </w:pPr>
    </w:p>
    <w:p>
      <w:pPr>
        <w:autoSpaceDE w:val="0"/>
        <w:autoSpaceDN w:val="0"/>
        <w:adjustRightInd w:val="0"/>
        <w:spacing w:after="160" w:line="259" w:lineRule="auto"/>
        <w:jc w:val="both"/>
        <w:rPr>
          <w:rFonts w:asciiTheme="minorHAnsi" w:eastAsia="Calibri" w:hAnsiTheme="minorHAnsi" w:cstheme="minorHAnsi"/>
          <w:spacing w:val="0"/>
          <w:sz w:val="16"/>
          <w:szCs w:val="16"/>
          <w:lang w:eastAsia="en-US"/>
        </w:rPr>
      </w:pPr>
    </w:p>
    <w:p>
      <w:pPr>
        <w:autoSpaceDE w:val="0"/>
        <w:autoSpaceDN w:val="0"/>
        <w:adjustRightInd w:val="0"/>
        <w:spacing w:line="240" w:lineRule="auto"/>
        <w:jc w:val="both"/>
        <w:rPr>
          <w:rFonts w:cs="Arial"/>
          <w:b/>
          <w:spacing w:val="0"/>
        </w:rPr>
      </w:pPr>
      <w:r>
        <w:rPr>
          <w:rFonts w:cs="Arial"/>
          <w:b/>
          <w:spacing w:val="0"/>
        </w:rPr>
        <w:t xml:space="preserve">Chancen </w:t>
      </w:r>
    </w:p>
    <w:p>
      <w:pPr>
        <w:autoSpaceDE w:val="0"/>
        <w:autoSpaceDN w:val="0"/>
        <w:adjustRightInd w:val="0"/>
        <w:spacing w:line="240" w:lineRule="auto"/>
        <w:jc w:val="both"/>
        <w:rPr>
          <w:rFonts w:cs="Arial"/>
          <w:b/>
          <w:spacing w:val="0"/>
        </w:rPr>
      </w:pPr>
    </w:p>
    <w:p>
      <w:pPr>
        <w:autoSpaceDE w:val="0"/>
        <w:autoSpaceDN w:val="0"/>
        <w:adjustRightInd w:val="0"/>
        <w:spacing w:line="240" w:lineRule="auto"/>
        <w:rPr>
          <w:rFonts w:cs="Arial"/>
          <w:spacing w:val="0"/>
        </w:rPr>
      </w:pPr>
      <w:r>
        <w:rPr>
          <w:rFonts w:cs="Arial"/>
          <w:spacing w:val="0"/>
        </w:rPr>
        <w:t xml:space="preserve">• Partizipation an den Wertsteigerungen ausgewählter Hedgefonds </w:t>
      </w:r>
    </w:p>
    <w:p>
      <w:pPr>
        <w:autoSpaceDE w:val="0"/>
        <w:autoSpaceDN w:val="0"/>
        <w:adjustRightInd w:val="0"/>
        <w:spacing w:line="240" w:lineRule="auto"/>
        <w:rPr>
          <w:rFonts w:cs="Arial"/>
          <w:spacing w:val="0"/>
        </w:rPr>
      </w:pPr>
      <w:r>
        <w:rPr>
          <w:rFonts w:cs="Arial"/>
          <w:spacing w:val="0"/>
        </w:rPr>
        <w:t xml:space="preserve">• </w:t>
      </w:r>
      <w:r>
        <w:rPr>
          <w:rFonts w:cs="Arial"/>
          <w:spacing w:val="0"/>
        </w:rPr>
        <w:t xml:space="preserve">Langfristig wird ein positiver attraktiver Ertrag in möglichst geringer Abhängigkeit von der   </w:t>
      </w:r>
      <w:r>
        <w:rPr>
          <w:rFonts w:cs="Arial"/>
          <w:spacing w:val="0"/>
        </w:rPr>
        <w:br/>
        <w:t xml:space="preserve">  Marktentwicklung angestrebt </w:t>
      </w:r>
    </w:p>
    <w:p>
      <w:pPr>
        <w:autoSpaceDE w:val="0"/>
        <w:autoSpaceDN w:val="0"/>
        <w:adjustRightInd w:val="0"/>
        <w:spacing w:line="240" w:lineRule="auto"/>
        <w:rPr>
          <w:rFonts w:cs="Arial"/>
          <w:spacing w:val="0"/>
        </w:rPr>
      </w:pPr>
      <w:r>
        <w:rPr>
          <w:rFonts w:cs="Arial"/>
          <w:spacing w:val="0"/>
        </w:rPr>
        <w:t xml:space="preserve">• </w:t>
      </w:r>
      <w:r>
        <w:rPr>
          <w:rFonts w:cs="Arial"/>
          <w:spacing w:val="0"/>
        </w:rPr>
        <w:t xml:space="preserve">Mehrwert gegenüber dem Marktdurchschnitt aufgrund erfolgreicher Fondsmanagerselektion </w:t>
      </w:r>
    </w:p>
    <w:p>
      <w:pPr>
        <w:autoSpaceDE w:val="0"/>
        <w:autoSpaceDN w:val="0"/>
        <w:adjustRightInd w:val="0"/>
        <w:spacing w:line="240" w:lineRule="auto"/>
        <w:rPr>
          <w:rFonts w:cs="Arial"/>
          <w:spacing w:val="0"/>
        </w:rPr>
      </w:pPr>
      <w:r>
        <w:rPr>
          <w:rFonts w:cs="Arial"/>
          <w:spacing w:val="0"/>
        </w:rPr>
        <w:t xml:space="preserve">• </w:t>
      </w:r>
      <w:r>
        <w:rPr>
          <w:rFonts w:cs="Arial"/>
          <w:spacing w:val="0"/>
        </w:rPr>
        <w:t xml:space="preserve">Aktives Dachfondsmanagement und laufende Überwachung der Portfoliopositionen </w:t>
      </w:r>
    </w:p>
    <w:p>
      <w:pPr>
        <w:autoSpaceDE w:val="0"/>
        <w:autoSpaceDN w:val="0"/>
        <w:adjustRightInd w:val="0"/>
        <w:spacing w:line="240" w:lineRule="auto"/>
        <w:rPr>
          <w:rFonts w:cs="Arial"/>
          <w:spacing w:val="0"/>
        </w:rPr>
      </w:pPr>
    </w:p>
    <w:p>
      <w:pPr>
        <w:autoSpaceDE w:val="0"/>
        <w:autoSpaceDN w:val="0"/>
        <w:adjustRightInd w:val="0"/>
        <w:spacing w:line="240" w:lineRule="auto"/>
        <w:rPr>
          <w:rFonts w:cs="Arial"/>
          <w:spacing w:val="0"/>
        </w:rPr>
      </w:pPr>
    </w:p>
    <w:p>
      <w:pPr>
        <w:autoSpaceDE w:val="0"/>
        <w:autoSpaceDN w:val="0"/>
        <w:adjustRightInd w:val="0"/>
        <w:spacing w:line="240" w:lineRule="auto"/>
        <w:rPr>
          <w:rFonts w:cs="Arial"/>
          <w:b/>
          <w:spacing w:val="0"/>
        </w:rPr>
      </w:pPr>
      <w:r>
        <w:rPr>
          <w:rFonts w:cs="Arial"/>
          <w:b/>
          <w:spacing w:val="0"/>
        </w:rPr>
        <w:t xml:space="preserve">Risiken </w:t>
      </w:r>
    </w:p>
    <w:p>
      <w:pPr>
        <w:autoSpaceDE w:val="0"/>
        <w:autoSpaceDN w:val="0"/>
        <w:adjustRightInd w:val="0"/>
        <w:spacing w:line="240" w:lineRule="auto"/>
        <w:rPr>
          <w:rFonts w:cs="Arial"/>
          <w:b/>
          <w:spacing w:val="0"/>
        </w:rPr>
      </w:pPr>
    </w:p>
    <w:p>
      <w:pPr>
        <w:autoSpaceDE w:val="0"/>
        <w:autoSpaceDN w:val="0"/>
        <w:adjustRightInd w:val="0"/>
        <w:spacing w:line="240" w:lineRule="auto"/>
        <w:rPr>
          <w:rFonts w:cs="Arial"/>
          <w:spacing w:val="0"/>
        </w:rPr>
      </w:pPr>
      <w:r>
        <w:rPr>
          <w:rFonts w:cs="Arial"/>
          <w:spacing w:val="0"/>
        </w:rPr>
        <w:t xml:space="preserve">• </w:t>
      </w:r>
      <w:r>
        <w:rPr>
          <w:rFonts w:cs="Arial"/>
          <w:spacing w:val="0"/>
        </w:rPr>
        <w:t xml:space="preserve">Risiko des Anteilwertrückgangs aufgrund allgemeiner Marktrisiken (bspw. Kurs-, Währungs- oder </w:t>
      </w:r>
      <w:r>
        <w:rPr>
          <w:rFonts w:cs="Arial"/>
          <w:spacing w:val="0"/>
        </w:rPr>
        <w:br/>
        <w:t xml:space="preserve">  Liquiditätsrisiken) </w:t>
      </w:r>
    </w:p>
    <w:p>
      <w:pPr>
        <w:autoSpaceDE w:val="0"/>
        <w:autoSpaceDN w:val="0"/>
        <w:adjustRightInd w:val="0"/>
        <w:spacing w:line="240" w:lineRule="auto"/>
        <w:rPr>
          <w:rFonts w:cs="Arial"/>
          <w:spacing w:val="0"/>
        </w:rPr>
      </w:pPr>
      <w:r>
        <w:rPr>
          <w:rFonts w:cs="Arial"/>
          <w:spacing w:val="0"/>
        </w:rPr>
        <w:t xml:space="preserve">• </w:t>
      </w:r>
      <w:r>
        <w:rPr>
          <w:rFonts w:cs="Arial"/>
          <w:spacing w:val="0"/>
        </w:rPr>
        <w:t xml:space="preserve">Risiken aus den für den Dachfonds ausgewählten Zielfonds und dem Anlageuniversum in den </w:t>
      </w:r>
      <w:r>
        <w:rPr>
          <w:rFonts w:cs="Arial"/>
          <w:spacing w:val="0"/>
        </w:rPr>
        <w:br/>
        <w:t xml:space="preserve">  Märkten für Aktien, Anleihen, Währungen oder Derivate </w:t>
      </w:r>
    </w:p>
    <w:p>
      <w:pPr>
        <w:autoSpaceDE w:val="0"/>
        <w:autoSpaceDN w:val="0"/>
        <w:adjustRightInd w:val="0"/>
        <w:spacing w:line="240" w:lineRule="auto"/>
        <w:rPr>
          <w:rFonts w:cs="Arial"/>
          <w:spacing w:val="0"/>
        </w:rPr>
      </w:pPr>
      <w:r>
        <w:rPr>
          <w:rFonts w:cs="Arial"/>
          <w:spacing w:val="0"/>
        </w:rPr>
        <w:t xml:space="preserve">• </w:t>
      </w:r>
      <w:r>
        <w:rPr>
          <w:rFonts w:cs="Arial"/>
          <w:spacing w:val="0"/>
        </w:rPr>
        <w:t xml:space="preserve">Risiko erhöhter Kursschwankungen des Anteilpreises aufgrund der Zusammensetzung des </w:t>
      </w:r>
      <w:r>
        <w:rPr>
          <w:rFonts w:cs="Arial"/>
          <w:spacing w:val="0"/>
        </w:rPr>
        <w:br/>
        <w:t xml:space="preserve">  Dach-Hedgefonds oder des möglichen Einsatzes von Derivaten </w:t>
      </w:r>
    </w:p>
    <w:p>
      <w:pPr>
        <w:autoSpaceDE w:val="0"/>
        <w:autoSpaceDN w:val="0"/>
        <w:adjustRightInd w:val="0"/>
        <w:spacing w:line="240" w:lineRule="auto"/>
        <w:rPr>
          <w:rFonts w:cs="Arial"/>
          <w:spacing w:val="0"/>
        </w:rPr>
      </w:pPr>
      <w:r>
        <w:rPr>
          <w:rFonts w:cs="Arial"/>
          <w:spacing w:val="0"/>
        </w:rPr>
        <w:t xml:space="preserve">• </w:t>
      </w:r>
      <w:r>
        <w:rPr>
          <w:rFonts w:cs="Arial"/>
          <w:spacing w:val="0"/>
        </w:rPr>
        <w:t xml:space="preserve">Besondere Risiken von Hedgefonds (bspw. Kredithebel oder Leerverkäufe) </w:t>
      </w:r>
    </w:p>
    <w:p>
      <w:pPr>
        <w:autoSpaceDE w:val="0"/>
        <w:autoSpaceDN w:val="0"/>
        <w:adjustRightInd w:val="0"/>
        <w:spacing w:line="240" w:lineRule="auto"/>
        <w:rPr>
          <w:rFonts w:cs="Arial"/>
          <w:spacing w:val="0"/>
        </w:rPr>
      </w:pPr>
      <w:r>
        <w:rPr>
          <w:rFonts w:cs="Arial"/>
          <w:spacing w:val="0"/>
        </w:rPr>
        <w:t xml:space="preserve">• </w:t>
      </w:r>
      <w:r>
        <w:rPr>
          <w:rFonts w:cs="Arial"/>
          <w:spacing w:val="0"/>
        </w:rPr>
        <w:t xml:space="preserve">Generell birgt jede Investition das Risiko eines Kapitalverlustes </w:t>
      </w:r>
    </w:p>
    <w:p>
      <w:pPr>
        <w:autoSpaceDE w:val="0"/>
        <w:autoSpaceDN w:val="0"/>
        <w:adjustRightInd w:val="0"/>
        <w:spacing w:line="240" w:lineRule="auto"/>
        <w:rPr>
          <w:rFonts w:cs="Arial"/>
          <w:spacing w:val="0"/>
        </w:rPr>
      </w:pPr>
      <w:r>
        <w:rPr>
          <w:rFonts w:cs="Arial"/>
          <w:spacing w:val="0"/>
        </w:rPr>
        <w:t xml:space="preserve">• </w:t>
      </w:r>
      <w:r>
        <w:rPr>
          <w:rFonts w:cs="Arial"/>
          <w:spacing w:val="0"/>
        </w:rPr>
        <w:t>Risiko, dass die Anlageziele des Dach-Hedgefonds oder der Zielfonds nicht erreicht werden</w:t>
      </w:r>
    </w:p>
    <w:p>
      <w:pPr>
        <w:autoSpaceDE w:val="0"/>
        <w:autoSpaceDN w:val="0"/>
        <w:adjustRightInd w:val="0"/>
        <w:spacing w:line="240" w:lineRule="auto"/>
        <w:jc w:val="both"/>
        <w:rPr>
          <w:rFonts w:cs="Arial"/>
          <w:spacing w:val="0"/>
        </w:rPr>
      </w:pPr>
    </w:p>
    <w:p>
      <w:pPr>
        <w:autoSpaceDE w:val="0"/>
        <w:autoSpaceDN w:val="0"/>
        <w:adjustRightInd w:val="0"/>
        <w:spacing w:line="240" w:lineRule="auto"/>
        <w:jc w:val="both"/>
        <w:rPr>
          <w:rFonts w:cs="Arial"/>
          <w:spacing w:val="0"/>
        </w:rPr>
      </w:pPr>
      <w:r>
        <w:rPr>
          <w:rFonts w:cs="Arial"/>
          <w:spacing w:val="0"/>
        </w:rPr>
        <w:t>Umfassendere Hinweise zu den Chancen und Risiken können dem aktuell gültigen Verkaufsprospekt entnommen werden. Dort finden sich auch Informationen zu der weiteren Anteilklasse I.</w:t>
      </w:r>
    </w:p>
    <w:p>
      <w:pPr>
        <w:autoSpaceDE w:val="0"/>
        <w:autoSpaceDN w:val="0"/>
        <w:adjustRightInd w:val="0"/>
        <w:spacing w:line="240" w:lineRule="auto"/>
        <w:jc w:val="both"/>
        <w:rPr>
          <w:rFonts w:cs="Arial"/>
          <w:b/>
          <w:spacing w:val="0"/>
        </w:rPr>
      </w:pPr>
    </w:p>
    <w:p>
      <w:pPr>
        <w:autoSpaceDE w:val="0"/>
        <w:autoSpaceDN w:val="0"/>
        <w:adjustRightInd w:val="0"/>
        <w:spacing w:line="240" w:lineRule="auto"/>
        <w:jc w:val="both"/>
        <w:rPr>
          <w:rFonts w:cs="Arial"/>
          <w:b/>
          <w:spacing w:val="0"/>
        </w:rPr>
      </w:pPr>
    </w:p>
    <w:p>
      <w:pPr>
        <w:autoSpaceDE w:val="0"/>
        <w:autoSpaceDN w:val="0"/>
        <w:adjustRightInd w:val="0"/>
        <w:spacing w:line="240" w:lineRule="auto"/>
        <w:jc w:val="both"/>
        <w:rPr>
          <w:rFonts w:cs="Arial"/>
          <w:b/>
          <w:spacing w:val="0"/>
        </w:rPr>
      </w:pPr>
      <w:r>
        <w:rPr>
          <w:rFonts w:cs="Arial"/>
          <w:b/>
          <w:spacing w:val="0"/>
        </w:rPr>
        <w:t xml:space="preserve">Hinweis für deutsche Anleger: </w:t>
      </w:r>
    </w:p>
    <w:p>
      <w:pPr>
        <w:autoSpaceDE w:val="0"/>
        <w:autoSpaceDN w:val="0"/>
        <w:adjustRightInd w:val="0"/>
        <w:spacing w:line="240" w:lineRule="auto"/>
        <w:jc w:val="both"/>
        <w:rPr>
          <w:rFonts w:cs="Arial"/>
          <w:spacing w:val="0"/>
        </w:rPr>
      </w:pPr>
      <w:r>
        <w:rPr>
          <w:rFonts w:cs="Arial"/>
          <w:spacing w:val="0"/>
        </w:rPr>
        <w:t xml:space="preserve">Der Bundesminister der Finanzen warnt: Dieser Investmentfonds investiert in Hedgefonds, die keinen gesetzlichen </w:t>
      </w:r>
      <w:proofErr w:type="spellStart"/>
      <w:r>
        <w:rPr>
          <w:rFonts w:cs="Arial"/>
          <w:spacing w:val="0"/>
        </w:rPr>
        <w:t>Leverage</w:t>
      </w:r>
      <w:proofErr w:type="spellEnd"/>
      <w:r>
        <w:rPr>
          <w:rFonts w:cs="Arial"/>
          <w:spacing w:val="0"/>
        </w:rPr>
        <w:t>- oder Risikobeschränkungen unterliegen.</w:t>
      </w:r>
    </w:p>
    <w:p>
      <w:pPr>
        <w:autoSpaceDE w:val="0"/>
        <w:autoSpaceDN w:val="0"/>
        <w:adjustRightInd w:val="0"/>
        <w:spacing w:line="240" w:lineRule="auto"/>
        <w:jc w:val="both"/>
        <w:rPr>
          <w:rFonts w:cs="Arial"/>
          <w:spacing w:val="0"/>
        </w:rPr>
      </w:pPr>
    </w:p>
    <w:p>
      <w:pPr>
        <w:autoSpaceDE w:val="0"/>
        <w:autoSpaceDN w:val="0"/>
        <w:adjustRightInd w:val="0"/>
        <w:spacing w:line="240" w:lineRule="auto"/>
        <w:jc w:val="both"/>
        <w:rPr>
          <w:rFonts w:cs="Arial"/>
          <w:b/>
          <w:spacing w:val="0"/>
        </w:rPr>
      </w:pPr>
    </w:p>
    <w:p>
      <w:pPr>
        <w:autoSpaceDE w:val="0"/>
        <w:autoSpaceDN w:val="0"/>
        <w:adjustRightInd w:val="0"/>
        <w:spacing w:line="240" w:lineRule="auto"/>
        <w:jc w:val="both"/>
        <w:rPr>
          <w:rFonts w:cs="Arial"/>
          <w:b/>
          <w:spacing w:val="0"/>
        </w:rPr>
      </w:pPr>
      <w:r>
        <w:rPr>
          <w:rFonts w:cs="Arial"/>
          <w:b/>
          <w:spacing w:val="0"/>
        </w:rPr>
        <w:t>Dies ist eine Marketing-Information. Bitte lesen Sie den Verkaufsprospekt und das Basisinformationsblatt, bevor Sie eine endgültige Anlageentscheidung treffen.</w:t>
      </w:r>
    </w:p>
    <w:p>
      <w:pPr>
        <w:autoSpaceDE w:val="0"/>
        <w:autoSpaceDN w:val="0"/>
        <w:adjustRightInd w:val="0"/>
        <w:spacing w:line="240" w:lineRule="auto"/>
        <w:jc w:val="both"/>
        <w:rPr>
          <w:rFonts w:cs="Arial"/>
          <w:spacing w:val="0"/>
        </w:rPr>
      </w:pPr>
      <w:r>
        <w:rPr>
          <w:rFonts w:cs="Arial"/>
          <w:spacing w:val="0"/>
        </w:rPr>
        <w:t xml:space="preserve"> </w:t>
      </w:r>
    </w:p>
    <w:p>
      <w:pPr>
        <w:autoSpaceDE w:val="0"/>
        <w:autoSpaceDN w:val="0"/>
        <w:adjustRightInd w:val="0"/>
        <w:spacing w:line="240" w:lineRule="auto"/>
        <w:jc w:val="both"/>
        <w:rPr>
          <w:rFonts w:cs="Arial"/>
          <w:spacing w:val="0"/>
        </w:rPr>
      </w:pPr>
      <w:r>
        <w:rPr>
          <w:rFonts w:cs="Arial"/>
          <w:spacing w:val="0"/>
        </w:rPr>
        <w:t xml:space="preserve">Diese Information stellt kein Angebot und keine Aufforderung zum Kauf von Investmentfondsanteilen dar. Hinweise zu Chancen und Risiken entnehmen Sie bitte dem aktuellen Verkaufsprospekt. Verbindliche Grundlage für den Kauf eines Fonds ist das Basisinformationsblatt, der jeweils gültige Verkaufsprospekt mit den Vertragsbedingungen, dem Verwaltungsreglement bzw. den Anlagebedingungen, der zuletzt veröffentlichte und geprüfte Jahresbericht und der letzte veröffentlichte ungeprüfte Halbjahresbericht, die in deutscher Sprache kostenlos bei der Sauren Fonds-Service AG, Postfach 10 28 54 in 50468 Köln (siehe auch </w:t>
      </w:r>
      <w:hyperlink r:id="rId7" w:history="1">
        <w:r>
          <w:rPr>
            <w:rFonts w:cs="Arial"/>
            <w:spacing w:val="0"/>
          </w:rPr>
          <w:t>www.sauren.de</w:t>
        </w:r>
      </w:hyperlink>
      <w:r>
        <w:rPr>
          <w:rFonts w:cs="Arial"/>
          <w:spacing w:val="0"/>
        </w:rPr>
        <w:t xml:space="preserve">) und bei der Verwaltungsgesellschaft </w:t>
      </w:r>
      <w:proofErr w:type="spellStart"/>
      <w:r>
        <w:rPr>
          <w:rFonts w:cs="Arial"/>
          <w:spacing w:val="0"/>
        </w:rPr>
        <w:t>IPConcept</w:t>
      </w:r>
      <w:proofErr w:type="spellEnd"/>
      <w:r>
        <w:rPr>
          <w:rFonts w:cs="Arial"/>
          <w:spacing w:val="0"/>
        </w:rPr>
        <w:t xml:space="preserve"> (Luxemburg) S.A., </w:t>
      </w:r>
      <w:proofErr w:type="spellStart"/>
      <w:r>
        <w:rPr>
          <w:rFonts w:cs="Arial"/>
          <w:spacing w:val="0"/>
        </w:rPr>
        <w:t>société</w:t>
      </w:r>
      <w:proofErr w:type="spellEnd"/>
      <w:r>
        <w:rPr>
          <w:rFonts w:cs="Arial"/>
          <w:spacing w:val="0"/>
        </w:rPr>
        <w:t xml:space="preserve"> anonyme (siehe auch </w:t>
      </w:r>
      <w:hyperlink r:id="rId8" w:history="1">
        <w:r>
          <w:rPr>
            <w:rFonts w:cs="Arial"/>
            <w:spacing w:val="0"/>
          </w:rPr>
          <w:t>www.ipconcept.com</w:t>
        </w:r>
      </w:hyperlink>
      <w:r>
        <w:rPr>
          <w:rFonts w:cs="Arial"/>
          <w:spacing w:val="0"/>
        </w:rPr>
        <w:t>) erhältlich sind. Die Verwaltungsgesellschaft kann beschließen, die Vorkehrungen, die sie für den Vertrieb der Fonds getroffen hat, gemäß Artikel 93a der Richtlinie 2009/65/EG und Artikel 32a der Richtlinie 2011/61/EU aufzuheben. Weitere Informationen zu Anlegerrechten sind in deutscher Sprache auf der Homepage der Verwaltungsgesellschaft (</w:t>
      </w:r>
      <w:hyperlink r:id="rId9" w:history="1">
        <w:r>
          <w:rPr>
            <w:rFonts w:cs="Arial"/>
            <w:spacing w:val="0"/>
          </w:rPr>
          <w:t>https://www.ipconcept.com/ipc/de/anlegerinformation.html</w:t>
        </w:r>
      </w:hyperlink>
      <w:r>
        <w:rPr>
          <w:rFonts w:cs="Arial"/>
          <w:spacing w:val="0"/>
        </w:rPr>
        <w:t>) einsehbar.</w:t>
      </w:r>
    </w:p>
    <w:p>
      <w:pPr>
        <w:autoSpaceDE w:val="0"/>
        <w:autoSpaceDN w:val="0"/>
        <w:adjustRightInd w:val="0"/>
        <w:spacing w:line="240" w:lineRule="auto"/>
        <w:jc w:val="both"/>
        <w:rPr>
          <w:rFonts w:cs="Arial"/>
          <w:spacing w:val="0"/>
        </w:rPr>
      </w:pPr>
    </w:p>
    <w:sectPr>
      <w:headerReference w:type="default" r:id="rId10"/>
      <w:footerReference w:type="default" r:id="rId11"/>
      <w:pgSz w:w="11900" w:h="16840" w:code="9"/>
      <w:pgMar w:top="2948" w:right="1418" w:bottom="1134" w:left="1418"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panose1 w:val="020B0502060101020104"/>
    <w:charset w:val="00"/>
    <w:family w:val="swiss"/>
    <w:pitch w:val="variable"/>
    <w:sig w:usb0="800000A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TheSansOfficeLF Bold">
    <w:panose1 w:val="020B0802060101020104"/>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rPr>
        <w:noProof/>
      </w:rPr>
      <w:drawing>
        <wp:anchor distT="0" distB="0" distL="114300" distR="114300" simplePos="0" relativeHeight="251659264" behindDoc="0" locked="0" layoutInCell="1" allowOverlap="1">
          <wp:simplePos x="0" y="0"/>
          <wp:positionH relativeFrom="column">
            <wp:posOffset>-893445</wp:posOffset>
          </wp:positionH>
          <wp:positionV relativeFrom="paragraph">
            <wp:posOffset>-466886</wp:posOffset>
          </wp:positionV>
          <wp:extent cx="6838950" cy="619125"/>
          <wp:effectExtent l="0" t="0" r="0" b="9525"/>
          <wp:wrapNone/>
          <wp:docPr id="28689" name="Bild 1" descr="Sauren_claim-4c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uren_claim-4c_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38950" cy="6191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lear" w:pos="9072"/>
        <w:tab w:val="right" w:pos="9064"/>
      </w:tabs>
      <w:ind w:left="-1418"/>
    </w:pPr>
    <w:r>
      <w:rPr>
        <w:noProof/>
      </w:rPr>
      <w:drawing>
        <wp:inline distT="0" distB="0" distL="0" distR="0">
          <wp:extent cx="7567295" cy="150876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orlage_Pressemitteilung_2.jpg"/>
                  <pic:cNvPicPr/>
                </pic:nvPicPr>
                <pic:blipFill rotWithShape="1">
                  <a:blip r:embed="rId1" cstate="print">
                    <a:extLst>
                      <a:ext uri="{28A0092B-C50C-407E-A947-70E740481C1C}">
                        <a14:useLocalDpi xmlns:a14="http://schemas.microsoft.com/office/drawing/2010/main" val="0"/>
                      </a:ext>
                    </a:extLst>
                  </a:blip>
                  <a:srcRect b="10403"/>
                  <a:stretch/>
                </pic:blipFill>
                <pic:spPr bwMode="auto">
                  <a:xfrm>
                    <a:off x="0" y="0"/>
                    <a:ext cx="7583609" cy="151201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9F6D2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68EDD1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E701E9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6B6138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4726C1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29EB5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B10D4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9FC3C8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15C4B5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DAA17B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E98DA0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A3366C"/>
    <w:multiLevelType w:val="hybridMultilevel"/>
    <w:tmpl w:val="1DAA65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2562797"/>
    <w:multiLevelType w:val="hybridMultilevel"/>
    <w:tmpl w:val="F2C87CD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457755"/>
    <w:multiLevelType w:val="hybridMultilevel"/>
    <w:tmpl w:val="B66CF8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7B579F8"/>
    <w:multiLevelType w:val="hybridMultilevel"/>
    <w:tmpl w:val="4E9C1934"/>
    <w:lvl w:ilvl="0" w:tplc="D17E9060">
      <w:start w:val="70"/>
      <w:numFmt w:val="bullet"/>
      <w:lvlText w:val="-"/>
      <w:lvlJc w:val="left"/>
      <w:pPr>
        <w:tabs>
          <w:tab w:val="num" w:pos="1271"/>
        </w:tabs>
        <w:ind w:left="1271" w:hanging="360"/>
      </w:pPr>
      <w:rPr>
        <w:rFonts w:ascii="TheSansOfficeLF" w:eastAsia="Times New Roman" w:hAnsi="TheSansOfficeLF" w:cs="Times New Roman" w:hint="default"/>
        <w:sz w:val="18"/>
      </w:rPr>
    </w:lvl>
    <w:lvl w:ilvl="1" w:tplc="04070003" w:tentative="1">
      <w:start w:val="1"/>
      <w:numFmt w:val="bullet"/>
      <w:lvlText w:val="o"/>
      <w:lvlJc w:val="left"/>
      <w:pPr>
        <w:tabs>
          <w:tab w:val="num" w:pos="1991"/>
        </w:tabs>
        <w:ind w:left="1991" w:hanging="360"/>
      </w:pPr>
      <w:rPr>
        <w:rFonts w:ascii="Courier New" w:hAnsi="Courier New" w:cs="Courier New" w:hint="default"/>
      </w:rPr>
    </w:lvl>
    <w:lvl w:ilvl="2" w:tplc="04070005" w:tentative="1">
      <w:start w:val="1"/>
      <w:numFmt w:val="bullet"/>
      <w:lvlText w:val=""/>
      <w:lvlJc w:val="left"/>
      <w:pPr>
        <w:tabs>
          <w:tab w:val="num" w:pos="2711"/>
        </w:tabs>
        <w:ind w:left="2711" w:hanging="360"/>
      </w:pPr>
      <w:rPr>
        <w:rFonts w:ascii="Wingdings" w:hAnsi="Wingdings" w:hint="default"/>
      </w:rPr>
    </w:lvl>
    <w:lvl w:ilvl="3" w:tplc="04070001" w:tentative="1">
      <w:start w:val="1"/>
      <w:numFmt w:val="bullet"/>
      <w:lvlText w:val=""/>
      <w:lvlJc w:val="left"/>
      <w:pPr>
        <w:tabs>
          <w:tab w:val="num" w:pos="3431"/>
        </w:tabs>
        <w:ind w:left="3431" w:hanging="360"/>
      </w:pPr>
      <w:rPr>
        <w:rFonts w:ascii="Symbol" w:hAnsi="Symbol" w:hint="default"/>
      </w:rPr>
    </w:lvl>
    <w:lvl w:ilvl="4" w:tplc="04070003" w:tentative="1">
      <w:start w:val="1"/>
      <w:numFmt w:val="bullet"/>
      <w:lvlText w:val="o"/>
      <w:lvlJc w:val="left"/>
      <w:pPr>
        <w:tabs>
          <w:tab w:val="num" w:pos="4151"/>
        </w:tabs>
        <w:ind w:left="4151" w:hanging="360"/>
      </w:pPr>
      <w:rPr>
        <w:rFonts w:ascii="Courier New" w:hAnsi="Courier New" w:cs="Courier New" w:hint="default"/>
      </w:rPr>
    </w:lvl>
    <w:lvl w:ilvl="5" w:tplc="04070005" w:tentative="1">
      <w:start w:val="1"/>
      <w:numFmt w:val="bullet"/>
      <w:lvlText w:val=""/>
      <w:lvlJc w:val="left"/>
      <w:pPr>
        <w:tabs>
          <w:tab w:val="num" w:pos="4871"/>
        </w:tabs>
        <w:ind w:left="4871" w:hanging="360"/>
      </w:pPr>
      <w:rPr>
        <w:rFonts w:ascii="Wingdings" w:hAnsi="Wingdings" w:hint="default"/>
      </w:rPr>
    </w:lvl>
    <w:lvl w:ilvl="6" w:tplc="04070001" w:tentative="1">
      <w:start w:val="1"/>
      <w:numFmt w:val="bullet"/>
      <w:lvlText w:val=""/>
      <w:lvlJc w:val="left"/>
      <w:pPr>
        <w:tabs>
          <w:tab w:val="num" w:pos="5591"/>
        </w:tabs>
        <w:ind w:left="5591" w:hanging="360"/>
      </w:pPr>
      <w:rPr>
        <w:rFonts w:ascii="Symbol" w:hAnsi="Symbol" w:hint="default"/>
      </w:rPr>
    </w:lvl>
    <w:lvl w:ilvl="7" w:tplc="04070003" w:tentative="1">
      <w:start w:val="1"/>
      <w:numFmt w:val="bullet"/>
      <w:lvlText w:val="o"/>
      <w:lvlJc w:val="left"/>
      <w:pPr>
        <w:tabs>
          <w:tab w:val="num" w:pos="6311"/>
        </w:tabs>
        <w:ind w:left="6311" w:hanging="360"/>
      </w:pPr>
      <w:rPr>
        <w:rFonts w:ascii="Courier New" w:hAnsi="Courier New" w:cs="Courier New" w:hint="default"/>
      </w:rPr>
    </w:lvl>
    <w:lvl w:ilvl="8" w:tplc="04070005" w:tentative="1">
      <w:start w:val="1"/>
      <w:numFmt w:val="bullet"/>
      <w:lvlText w:val=""/>
      <w:lvlJc w:val="left"/>
      <w:pPr>
        <w:tabs>
          <w:tab w:val="num" w:pos="7031"/>
        </w:tabs>
        <w:ind w:left="7031" w:hanging="360"/>
      </w:pPr>
      <w:rPr>
        <w:rFonts w:ascii="Wingdings" w:hAnsi="Wingdings"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4"/>
  </w:num>
  <w:num w:numId="13">
    <w:abstractNumId w:val="12"/>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4273">
      <o:colormru v:ext="edit" colors="#7d1e2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colormru v:ext="edit" colors="#7d1e26"/>
    </o:shapedefaults>
    <o:shapelayout v:ext="edit">
      <o:idmap v:ext="edit" data="1"/>
    </o:shapelayout>
  </w:shapeDefaults>
  <w:doNotEmbedSmartTags/>
  <w:decimalSymbol w:val=","/>
  <w:listSeparator w:val=";"/>
  <w15:docId w15:val="{C4C87929-3C7B-48CF-8510-129B952B6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64" w:lineRule="auto"/>
    </w:pPr>
    <w:rPr>
      <w:rFonts w:ascii="Arial" w:hAnsi="Arial"/>
      <w:spacing w:val="20"/>
    </w:rPr>
  </w:style>
  <w:style w:type="paragraph" w:styleId="berschrift1">
    <w:name w:val="heading 1"/>
    <w:basedOn w:val="Standard"/>
    <w:next w:val="Standard"/>
    <w:qFormat/>
    <w:pPr>
      <w:keepNext/>
      <w:outlineLvl w:val="0"/>
    </w:pPr>
    <w:rPr>
      <w:spacing w:val="0"/>
      <w:sz w:val="40"/>
    </w:rPr>
  </w:style>
  <w:style w:type="paragraph" w:styleId="berschrift3">
    <w:name w:val="heading 3"/>
    <w:basedOn w:val="Standard"/>
    <w:next w:val="Standard"/>
    <w:qFormat/>
    <w:pPr>
      <w:keepNext/>
      <w:outlineLvl w:val="2"/>
    </w:pPr>
    <w:rPr>
      <w:spacing w:val="0"/>
      <w:sz w:val="1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liesstext">
    <w:name w:val="fliesstext"/>
    <w:basedOn w:val="Absatz-Standardschriftart"/>
    <w:rPr>
      <w:rFonts w:ascii="TheSansOfficeLF" w:hAnsi="TheSansOfficeLF"/>
      <w:spacing w:val="20"/>
      <w:sz w:val="18"/>
    </w:rPr>
  </w:style>
  <w:style w:type="paragraph" w:styleId="Kopfzeile">
    <w:name w:val="header"/>
    <w:basedOn w:val="Standard"/>
    <w:pPr>
      <w:tabs>
        <w:tab w:val="center" w:pos="4536"/>
        <w:tab w:val="right" w:pos="9072"/>
      </w:tabs>
    </w:pPr>
  </w:style>
  <w:style w:type="paragraph" w:styleId="Fuzeile">
    <w:name w:val="footer"/>
    <w:basedOn w:val="Standard"/>
    <w:semiHidden/>
    <w:pPr>
      <w:tabs>
        <w:tab w:val="center" w:pos="4536"/>
        <w:tab w:val="right" w:pos="9072"/>
      </w:tabs>
    </w:pPr>
  </w:style>
  <w:style w:type="character" w:customStyle="1" w:styleId="headline">
    <w:name w:val="headline"/>
    <w:basedOn w:val="Absatz-Standardschriftart"/>
    <w:rPr>
      <w:rFonts w:ascii="TheSansOfficeLF Bold" w:hAnsi="TheSansOfficeLF Bold"/>
      <w:caps/>
      <w:color w:val="FFFFFF"/>
      <w:spacing w:val="40"/>
      <w:sz w:val="36"/>
    </w:rPr>
  </w:style>
  <w:style w:type="paragraph" w:customStyle="1" w:styleId="datum">
    <w:name w:val="datum"/>
    <w:rPr>
      <w:rFonts w:ascii="Arial" w:hAnsi="Arial"/>
      <w:sz w:val="40"/>
    </w:rPr>
  </w:style>
  <w:style w:type="character" w:customStyle="1" w:styleId="subheadline">
    <w:name w:val="subheadline"/>
    <w:basedOn w:val="Absatz-Standardschriftart"/>
    <w:rPr>
      <w:rFonts w:ascii="TheSansOfficeLF" w:hAnsi="TheSansOfficeLF"/>
      <w:caps/>
      <w:color w:val="A2CFDD"/>
      <w:spacing w:val="0"/>
      <w:sz w:val="36"/>
    </w:rPr>
  </w:style>
  <w:style w:type="character" w:customStyle="1" w:styleId="headlinefliesstext">
    <w:name w:val="headline_fliesstext"/>
    <w:basedOn w:val="fliesstext"/>
    <w:rPr>
      <w:rFonts w:ascii="TheSansOfficeLF" w:hAnsi="TheSansOfficeLF"/>
      <w:caps/>
      <w:color w:val="7D1E26"/>
      <w:spacing w:val="0"/>
      <w:sz w:val="22"/>
    </w:rPr>
  </w:style>
  <w:style w:type="character" w:customStyle="1" w:styleId="headlinemitdatum">
    <w:name w:val="headline mit datum"/>
    <w:basedOn w:val="headlinefliesstext"/>
    <w:rPr>
      <w:rFonts w:ascii="TheSansOfficeLF Bold" w:hAnsi="TheSansOfficeLF Bold"/>
      <w:caps/>
      <w:color w:val="7D1E26"/>
      <w:spacing w:val="40"/>
      <w:sz w:val="28"/>
    </w:rPr>
  </w:style>
  <w:style w:type="character" w:styleId="Hyperlink">
    <w:name w:val="Hyperlink"/>
    <w:basedOn w:val="Absatz-Standardschriftart"/>
    <w:rPr>
      <w:color w:val="0000FF"/>
      <w:u w:val="single"/>
    </w:rPr>
  </w:style>
  <w:style w:type="paragraph" w:styleId="Sprechblasentext">
    <w:name w:val="Balloon Text"/>
    <w:basedOn w:val="Standard"/>
    <w:semiHidden/>
    <w:rPr>
      <w:rFonts w:ascii="Tahoma" w:hAnsi="Tahoma" w:cs="Tahoma"/>
      <w:sz w:val="16"/>
      <w:szCs w:val="16"/>
    </w:rPr>
  </w:style>
  <w:style w:type="paragraph" w:styleId="Textkrper">
    <w:name w:val="Body Text"/>
    <w:basedOn w:val="Standard"/>
    <w:pPr>
      <w:spacing w:line="240" w:lineRule="auto"/>
      <w:jc w:val="both"/>
    </w:pPr>
    <w:rPr>
      <w:rFonts w:ascii="Times New Roman" w:hAnsi="Times New Roman"/>
      <w:spacing w:val="0"/>
      <w:sz w:val="24"/>
    </w:rPr>
  </w:style>
  <w:style w:type="paragraph" w:styleId="StandardWeb">
    <w:name w:val="Normal (Web)"/>
    <w:basedOn w:val="Standard"/>
    <w:uiPriority w:val="99"/>
    <w:unhideWhenUsed/>
    <w:pPr>
      <w:spacing w:before="100" w:beforeAutospacing="1" w:after="100" w:afterAutospacing="1" w:line="240" w:lineRule="auto"/>
    </w:pPr>
    <w:rPr>
      <w:rFonts w:ascii="Times New Roman" w:eastAsiaTheme="minorEastAsia" w:hAnsi="Times New Roman"/>
      <w:spacing w:val="0"/>
      <w:sz w:val="24"/>
      <w:szCs w:val="24"/>
      <w:lang w:val="en-GB" w:eastAsia="en-GB"/>
    </w:rPr>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09828">
      <w:bodyDiv w:val="1"/>
      <w:marLeft w:val="0"/>
      <w:marRight w:val="0"/>
      <w:marTop w:val="0"/>
      <w:marBottom w:val="0"/>
      <w:divBdr>
        <w:top w:val="none" w:sz="0" w:space="0" w:color="auto"/>
        <w:left w:val="none" w:sz="0" w:space="0" w:color="auto"/>
        <w:bottom w:val="none" w:sz="0" w:space="0" w:color="auto"/>
        <w:right w:val="none" w:sz="0" w:space="0" w:color="auto"/>
      </w:divBdr>
      <w:divsChild>
        <w:div w:id="404496656">
          <w:marLeft w:val="0"/>
          <w:marRight w:val="0"/>
          <w:marTop w:val="0"/>
          <w:marBottom w:val="432"/>
          <w:divBdr>
            <w:top w:val="none" w:sz="0" w:space="0" w:color="auto"/>
            <w:left w:val="none" w:sz="0" w:space="0" w:color="auto"/>
            <w:bottom w:val="none" w:sz="0" w:space="0" w:color="auto"/>
            <w:right w:val="none" w:sz="0" w:space="0" w:color="auto"/>
          </w:divBdr>
        </w:div>
      </w:divsChild>
    </w:div>
    <w:div w:id="147941632">
      <w:bodyDiv w:val="1"/>
      <w:marLeft w:val="0"/>
      <w:marRight w:val="0"/>
      <w:marTop w:val="0"/>
      <w:marBottom w:val="0"/>
      <w:divBdr>
        <w:top w:val="none" w:sz="0" w:space="0" w:color="auto"/>
        <w:left w:val="none" w:sz="0" w:space="0" w:color="auto"/>
        <w:bottom w:val="none" w:sz="0" w:space="0" w:color="auto"/>
        <w:right w:val="none" w:sz="0" w:space="0" w:color="auto"/>
      </w:divBdr>
    </w:div>
    <w:div w:id="318075338">
      <w:bodyDiv w:val="1"/>
      <w:marLeft w:val="0"/>
      <w:marRight w:val="0"/>
      <w:marTop w:val="0"/>
      <w:marBottom w:val="0"/>
      <w:divBdr>
        <w:top w:val="none" w:sz="0" w:space="0" w:color="auto"/>
        <w:left w:val="none" w:sz="0" w:space="0" w:color="auto"/>
        <w:bottom w:val="none" w:sz="0" w:space="0" w:color="auto"/>
        <w:right w:val="none" w:sz="0" w:space="0" w:color="auto"/>
      </w:divBdr>
      <w:divsChild>
        <w:div w:id="280840451">
          <w:marLeft w:val="0"/>
          <w:marRight w:val="0"/>
          <w:marTop w:val="0"/>
          <w:marBottom w:val="0"/>
          <w:divBdr>
            <w:top w:val="single" w:sz="8" w:space="0" w:color="E3E3E3"/>
            <w:left w:val="single" w:sz="8" w:space="0" w:color="E3E3E3"/>
            <w:bottom w:val="single" w:sz="8" w:space="0" w:color="E3E3E3"/>
            <w:right w:val="single" w:sz="8" w:space="0" w:color="E3E3E3"/>
          </w:divBdr>
        </w:div>
      </w:divsChild>
    </w:div>
    <w:div w:id="361051665">
      <w:bodyDiv w:val="1"/>
      <w:marLeft w:val="0"/>
      <w:marRight w:val="0"/>
      <w:marTop w:val="0"/>
      <w:marBottom w:val="0"/>
      <w:divBdr>
        <w:top w:val="none" w:sz="0" w:space="0" w:color="auto"/>
        <w:left w:val="none" w:sz="0" w:space="0" w:color="auto"/>
        <w:bottom w:val="none" w:sz="0" w:space="0" w:color="auto"/>
        <w:right w:val="none" w:sz="0" w:space="0" w:color="auto"/>
      </w:divBdr>
    </w:div>
    <w:div w:id="711687781">
      <w:bodyDiv w:val="1"/>
      <w:marLeft w:val="0"/>
      <w:marRight w:val="0"/>
      <w:marTop w:val="0"/>
      <w:marBottom w:val="0"/>
      <w:divBdr>
        <w:top w:val="none" w:sz="0" w:space="0" w:color="auto"/>
        <w:left w:val="none" w:sz="0" w:space="0" w:color="auto"/>
        <w:bottom w:val="none" w:sz="0" w:space="0" w:color="auto"/>
        <w:right w:val="none" w:sz="0" w:space="0" w:color="auto"/>
      </w:divBdr>
    </w:div>
    <w:div w:id="1028408579">
      <w:bodyDiv w:val="1"/>
      <w:marLeft w:val="0"/>
      <w:marRight w:val="0"/>
      <w:marTop w:val="0"/>
      <w:marBottom w:val="0"/>
      <w:divBdr>
        <w:top w:val="none" w:sz="0" w:space="0" w:color="auto"/>
        <w:left w:val="none" w:sz="0" w:space="0" w:color="auto"/>
        <w:bottom w:val="none" w:sz="0" w:space="0" w:color="auto"/>
        <w:right w:val="none" w:sz="0" w:space="0" w:color="auto"/>
      </w:divBdr>
    </w:div>
    <w:div w:id="1063988181">
      <w:bodyDiv w:val="1"/>
      <w:marLeft w:val="0"/>
      <w:marRight w:val="0"/>
      <w:marTop w:val="0"/>
      <w:marBottom w:val="0"/>
      <w:divBdr>
        <w:top w:val="none" w:sz="0" w:space="0" w:color="auto"/>
        <w:left w:val="none" w:sz="0" w:space="0" w:color="auto"/>
        <w:bottom w:val="none" w:sz="0" w:space="0" w:color="auto"/>
        <w:right w:val="none" w:sz="0" w:space="0" w:color="auto"/>
      </w:divBdr>
    </w:div>
    <w:div w:id="1295066279">
      <w:bodyDiv w:val="1"/>
      <w:marLeft w:val="0"/>
      <w:marRight w:val="0"/>
      <w:marTop w:val="0"/>
      <w:marBottom w:val="0"/>
      <w:divBdr>
        <w:top w:val="none" w:sz="0" w:space="0" w:color="auto"/>
        <w:left w:val="none" w:sz="0" w:space="0" w:color="auto"/>
        <w:bottom w:val="none" w:sz="0" w:space="0" w:color="auto"/>
        <w:right w:val="none" w:sz="0" w:space="0" w:color="auto"/>
      </w:divBdr>
    </w:div>
    <w:div w:id="134181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pluto\daten$\winword\Marketing\PR\Pressemitteilungen\2024\www.ipconcep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pluto\daten$\winword\Marketing\PR\Pressemitteilungen\2024\www.sauren.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pconcept.com/ipc/de/anlegerinformation.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5216</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HEADLINE</vt:lpstr>
    </vt:vector>
  </TitlesOfParts>
  <Company/>
  <LinksUpToDate>false</LinksUpToDate>
  <CharactersWithSpaces>5890</CharactersWithSpaces>
  <SharedDoc>false</SharedDoc>
  <HyperlinkBase/>
  <HLinks>
    <vt:vector size="6" baseType="variant">
      <vt:variant>
        <vt:i4>5439497</vt:i4>
      </vt:variant>
      <vt:variant>
        <vt:i4>0</vt:i4>
      </vt:variant>
      <vt:variant>
        <vt:i4>0</vt:i4>
      </vt:variant>
      <vt:variant>
        <vt:i4>5</vt:i4>
      </vt:variant>
      <vt:variant>
        <vt:lpwstr>http://www.sauren.de/Fondsmanager-Gipfel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dc:title>
  <dc:creator>imac</dc:creator>
  <cp:lastModifiedBy>Bettina Jansen</cp:lastModifiedBy>
  <cp:revision>2</cp:revision>
  <cp:lastPrinted>2024-04-30T08:54:00Z</cp:lastPrinted>
  <dcterms:created xsi:type="dcterms:W3CDTF">2024-07-29T08:26:00Z</dcterms:created>
  <dcterms:modified xsi:type="dcterms:W3CDTF">2024-07-29T08:26:00Z</dcterms:modified>
</cp:coreProperties>
</file>